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keepNext/>
        <w:spacing w:before="0" w:after="100" w:line="270" w:lineRule="auto"/>
        <w:rPr>
          <w:rFonts w:ascii="Sarabun" w:hAnsi="Sarabun" w:eastAsia="Sarabun" w:cs="Sarabun"/>
          <w:sz w:val="48"/>
          <w:szCs w:val="48"/>
          <w:lang w:val="th-TH"/>
        </w:rPr>
      </w:pPr>
      <w:r>
        <w:rPr>
          <w:b/>
          <w:color w:val="0B2545"/>
          <w:rFonts w:ascii="Sarabun" w:hAnsi="Sarabun" w:eastAsia="Sarabun" w:cs="Sarabun"/>
          <w:sz w:val="48"/>
          <w:szCs w:val="48"/>
          <w:lang w:val="th-TH"/>
        </w:rPr>
        <w:t>แบบฟอร์มปฏิบัติงาน AI</w:t>
      </w:r>
    </w:p>
    <w:p>
      <w:pPr>
        <w:spacing w:before="0" w:after="140" w:line="270" w:lineRule="auto"/>
        <w:rPr>
          <w:rFonts w:ascii="Sarabun" w:hAnsi="Sarabun" w:eastAsia="Sarabun" w:cs="Sarabun"/>
          <w:sz w:val="24"/>
          <w:szCs w:val="24"/>
          <w:lang w:val="th-TH"/>
        </w:rPr>
      </w:pPr>
      <w:r>
        <w:rPr>
          <w:rFonts w:ascii="Sarabun" w:hAnsi="Sarabun" w:eastAsia="Sarabun" w:cs="Sarabun"/>
          <w:sz w:val="24"/>
          <w:szCs w:val="24"/>
          <w:lang w:val="th-TH"/>
        </w:rPr>
        <w:t>DHISORA Advisory | Version 1.0.1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แบบฟอร์ม 8 ชุด สำหรับปรับใช้ภายในกิจการ อ่าน Playbook ฉบับเต็มก่อนกำหนดเกณฑ์และอำนาจ ใช้ช่องกรอกเพื่อบันทึกข้อมูลและหลักฐาน โดยการกรอกหรือการลงนามไม่ถือเป็นการรับรองโดย DHISORA</w:t>
      </w:r>
    </w:p>
    <w:p>
      <w:r>
        <w:br w:type="page"/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32"/>
          <w:szCs w:val="32"/>
          <w:lang w:val="th-TH"/>
        </w:rPr>
      </w:pPr>
      <w:r>
        <w:rPr>
          <w:b/>
          <w:color w:val="0B2545"/>
          <w:rFonts w:ascii="Sarabun" w:hAnsi="Sarabun" w:eastAsia="Sarabun" w:cs="Sarabun"/>
          <w:sz w:val="32"/>
          <w:szCs w:val="32"/>
          <w:lang w:val="th-TH"/>
        </w:rPr>
        <w:t>ขอบเขตการใช้เอกสารและสิทธิการเผยแพร่</w:t>
      </w:r>
    </w:p>
    <w:p>
      <w:pPr>
        <w:spacing w:before="0" w:after="140" w:line="270" w:lineRule="auto"/>
        <w:rPr>
          <w:rFonts w:ascii="Sarabun" w:hAnsi="Sarabun" w:eastAsia="Sarabun" w:cs="Sarabun"/>
          <w:sz w:val="20"/>
          <w:szCs w:val="20"/>
          <w:lang w:val="th-TH"/>
        </w:rPr>
      </w:pPr>
      <w:r>
        <w:rPr>
          <w:rFonts w:ascii="Sarabun" w:hAnsi="Sarabun" w:eastAsia="Sarabun" w:cs="Sarabun"/>
          <w:sz w:val="20"/>
          <w:szCs w:val="20"/>
          <w:lang w:val="th-TH"/>
        </w:rPr>
        <w:t>ฉบับเผยแพร่เพื่อการศึกษาและอ้างอิงทั่วไป | Version 1.0.1 | 10 October 2026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วัตถุประสงค์และขอบเขต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Playbook นี้จัดทำเพื่อการศึกษา การหารือ การประเมิน และการออกแบบแนวทางใช้ AI ในงานบัญชีและการเงิน เนื้อหาเป็นแนวทางทั่วไป ไม่ได้ตรวจสอบข้อเท็จจริง เอกสาร หรือระบบของกิจการใดเป็นรายกรณี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ขอบเขตวิชาชีพและการนำไปใช้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เนื้อหาไม่ใช่คำแนะนำเฉพาะกิจการด้านกฎหมาย ภาษี การลงทุน หรือการบัญชี ไม่ใช่รายงานการสอบบัญชี รายงานให้ความเชื่อมั่น การรับรองระบบ หรือการยืนยันการปฏิบัติตามกฎหมายและมาตรฐาน ก่อนนำไปใช้ ให้ผู้มีหน้าที่และอำนาจที่เหมาะสมสอบทานข้อเท็จจริง ข้อมูล ความเสี่ยง การแบ่งแยกหน้าที่ และข้อกำหนดที่เกี่ยวข้อง รวมทั้งใช้ผู้เชี่ยวชาญตามลักษณะงาน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ตัวอย่าง แบบฟอร์ม และผลลัพธ์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กรณีสมมติใช้เพื่ออธิบายแนวคิด ไม่ใช่ผลการให้บริการแก่ลูกค้าจริง แบบฟอร์มเป็นจุดเริ่มต้นของการออกแบบ ต้องกำหนดเกณฑ์ ข้อมูล อำนาจ และผู้รับผิดชอบของกิจการก่อนใช้ การใช้เอกสารไม่ได้รับประกันผลประกอบการ การผ่าน IPO การยอมรับจากผู้สอบบัญชีหรือหน่วยงานกำกับ หรือประสิทธิผลของการควบคุมและระบบ AI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แหล่งอ้างอิงและการว่าจ้าง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ให้ตรวจฉบับที่มีผลใช้ ขอบเขตการบังคับ และแหล่งทางการ ณ วันที่นำไปใช้ การกล่าวถึงกรอบหรือมาตรฐานไม่ได้หมายความว่าทุกข้อใช้บังคับกับทุกกิจการ หรือองค์กรผู้ออกกรอบรับรอง DHISORA การดาวน์โหลด การอ่าน หรือการติดต่อเบื้องต้นไม่ถือเป็นการว่าจ้างหรือการยืนยันรับงาน ขอบเขต ผลงาน ค่าบริการ และความรับผิดชอบต้องตกลงแยกต่างหาก</w:t>
      </w:r>
    </w:p>
    <w:p>
      <w:r>
        <w:br w:type="page"/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32"/>
          <w:szCs w:val="32"/>
          <w:lang w:val="th-TH"/>
        </w:rPr>
      </w:pPr>
      <w:r>
        <w:rPr>
          <w:b/>
          <w:color w:val="0B2545"/>
          <w:rFonts w:ascii="Sarabun" w:hAnsi="Sarabun" w:eastAsia="Sarabun" w:cs="Sarabun"/>
          <w:sz w:val="32"/>
          <w:szCs w:val="32"/>
          <w:lang w:val="th-TH"/>
        </w:rPr>
        <w:t>ขอบเขตการใช้เอกสารและสิทธิการเผยแพร่ ต่อ</w:t>
      </w:r>
    </w:p>
    <w:p>
      <w:pPr>
        <w:spacing w:before="0" w:after="140" w:line="270" w:lineRule="auto"/>
        <w:rPr>
          <w:rFonts w:ascii="Sarabun" w:hAnsi="Sarabun" w:eastAsia="Sarabun" w:cs="Sarabun"/>
          <w:sz w:val="20"/>
          <w:szCs w:val="20"/>
          <w:lang w:val="th-TH"/>
        </w:rPr>
      </w:pPr>
      <w:r>
        <w:rPr>
          <w:rFonts w:ascii="Sarabun" w:hAnsi="Sarabun" w:eastAsia="Sarabun" w:cs="Sarabun"/>
          <w:sz w:val="20"/>
          <w:szCs w:val="20"/>
          <w:lang w:val="th-TH"/>
        </w:rPr>
        <w:t>ฉบับเผยแพร่เพื่อการศึกษาและอ้างอิงทั่วไป | Version 1.0.1 | 10 October 2026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การอ่าน การอ้างอิง และการใช้ภายใน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อนุญาตให้อ่าน ดาวน์โหลดเพื่อใช้อ้างอิง และปรับแบบฟอร์มสำหรับใช้ภายในกิจการของผู้ใช้ได้ โดยระบุแหล่งที่มาและเลขรุ่นของ DHISORA ในสำเนาที่ปรับ และแสดงว่าเป็นฉบับที่ผู้ใช้ปรับเอง การอ้างข้อความบางส่วนต้องรักษาความหมายและบริบท ไม่ทำให้เข้าใจว่า DHISORA รับรองงานหรือข้อสรุปของผู้ใช้ ทั้งนี้ไม่กระทบข้อยกเว้นหรือสิทธิที่กฎหมายกำหนด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การเผยแพร่ต่อและสิทธิของบุคคลอื่น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แนะนำให้แชร์ลิงก์ฉบับล่าสุดบนเว็บไซต์ การเผยแพร่เอกสารเต็มฉบับต่อสาธารณะ การแปลหรือดัดแปลงเพื่อเผยแพร่ การขาย การรวมในสินค้า บริการ หรือหลักสูตรเชิงพาณิชย์ และการใช้ชื่อหรือเครื่องหมายเพื่อสื่อการรับรอง ต้องขออนุญาตเป็นหนังสือก่อน เว้นแต่กฎหมายอนุญาต สิทธิในมาตรฐาน เอกสาร และเครื่องหมายของบุคคลอื่นยังเป็นของเจ้าของสิทธิแต่ละราย การอนุญาตของ DHISORA ไม่ได้ขยายไปถึงสิทธิเหล่านั้น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หน้าที่ของผู้ใช้และขอบเขตความรับผิด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ผู้ใช้ต้องใช้ข้อมูลอย่างถูกต้องตามกฎหมายและหน้าที่ของตน สอบทานก่อนตัดสินใจ และไม่ใช้เอกสารเพื่อสร้างข้อความเท็จ ทำให้ผู้อื่นเข้าใจผิด หรืออ้างการรับรองที่ไม่มีอยู่จริง ข้อความนี้อธิบายขอบเขตของเอกสารและไม่ได้ตัดสิทธิของบุคคลใด หรือยกเว้นหน้าที่และความรับผิดที่กฎหมายไม่อนุญาตให้ยกเว้น</w:t>
      </w:r>
    </w:p>
    <w:p>
      <w:pPr>
        <w:keepNext/>
        <w:spacing w:before="0" w:after="100" w:line="270" w:lineRule="auto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b/>
          <w:color w:val="0B2545"/>
          <w:rFonts w:ascii="Sarabun" w:hAnsi="Sarabun" w:eastAsia="Sarabun" w:cs="Sarabun"/>
          <w:sz w:val="23"/>
          <w:szCs w:val="23"/>
          <w:lang w:val="th-TH"/>
        </w:rPr>
        <w:t>ฉบับเผยแพร่และการแจ้งแก้ไข</w:t>
      </w:r>
    </w:p>
    <w:p>
      <w:pPr>
        <w:spacing w:before="0" w:after="140" w:line="270" w:lineRule="auto"/>
        <w:rPr>
          <w:rFonts w:ascii="Sarabun" w:hAnsi="Sarabun" w:eastAsia="Sarabun" w:cs="Sarabun"/>
          <w:sz w:val="22"/>
          <w:szCs w:val="22"/>
          <w:lang w:val="th-TH"/>
        </w:rPr>
      </w:pPr>
      <w:r>
        <w:rPr>
          <w:rFonts w:ascii="Sarabun" w:hAnsi="Sarabun" w:eastAsia="Sarabun" w:cs="Sarabun"/>
          <w:sz w:val="22"/>
          <w:szCs w:val="22"/>
          <w:lang w:val="th-TH"/>
        </w:rPr>
        <w:t>ฉบับ 1.0.1 เผยแพร่ 10 ตุลาคม 2569 เพิ่มข้อความขอบเขตการใช้และสิทธิการเผยแพร่ พร้อมจัดรูปแบบ PDF จาก Playbook ฉบับ 1.0 ภาษาไทยและคำแปลภาษาอังกฤษ หากพบข้อความคลาดเคลื่อนหรือต้องการขออนุญาต โปรดระบุหน้า ข้อความ และเลขรุ่น แล้วติดต่อ dhira@dhisoraadvisory.com</w:t>
      </w:r>
    </w:p>
    <w:p>
      <w:r>
        <w:br w:type="page"/>
      </w:r>
    </w:p>
    <w:p w14:paraId="723C4584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2" w:name="_Toc242540160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1 Use Case Card</w:t>
      </w:r>
      <w:bookmarkEnd w:id="12"/>
    </w:p>
    <w:p w14:paraId="11246DF6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ระบุ​การ​ใช้ AI หนึ่ง​กิจกรรม​ให้​ชัด​ก่อน​ประเมิน​ความเสี่ยง กรอก​ผู้รับ​ผิด​ชอบ​และ​แนบ​หลัก​ฐาน​อ้างอิง ช่อง​ตัวอย่าง​ไม่ใช่​เกณฑ์​อนุมัติ​ของ​กิจการ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55AFF1C8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4E2BD3D7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026AC90F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65A602E6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59DB5B60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รหัส​และ​สถานะ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4F4D5AED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Use case ID / รุ่น / วัน​ที่ / ผู้​จัด​ทำ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33D08802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2CCA125D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วัตถุประสงค์​และ baseline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5F2F475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ปัญหา ผลลัพธ์​ที่​ต้องการ ตัว​ชี้​วัด​และ​ต้นทุน​เดิม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592FBCE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61FE7F6E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กระบวนการ​และ​ขอบเขต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7B6B7C7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กิจการ หน่วย​งาน งวด ประเภท​รายการ ปริมาณ​และ​ผู้​ใช้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BDC0C09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52D3038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กิจกรรม​ที่​อนุญาต​และ​ห้าม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043BF96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แยก​เสนอ จับ​คู่ บันทึก ตัด​ยอด จ่าย​เงิน และ​ข้อ​สงวน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5EEB55D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13C6756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ข้อมูล​และ​ระบบ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3F93033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แหล่ง​ข้อมูล ชั้น​ความ​ลับ ผู้​ให้​บริการ รุ่น​และ​สิทธิ์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อ้าง​เอกสาร]</w:t>
            </w:r>
          </w:p>
        </w:tc>
      </w:tr>
      <w:tr w:rsidR="00254F00" w14:paraId="5D4B5D04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31B0719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เจ้าของ​และ Oversight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5902D8FE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เจ้าของ​กระบวนการ ผู้​ตรวจ ผู้​ตัดสิน รูป​แบบ​และ​เหตุผล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6EE8060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2F3C4D01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ข้อ​กำหนด​และ​เอกสาร​เชื่อม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3762DE1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กรอบ​บัญชี​หรือ​กฎหมาย​ที่​เกี่ยวข้อง / Risk IDs / Control IDs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ผู้​ตรวจ​ขอบเขต]</w:t>
            </w:r>
          </w:p>
        </w:tc>
      </w:tr>
      <w:tr w:rsidR="00254F00" w14:paraId="6B752292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66BFDE4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ผล​การ​พิจารณา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69BF503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ออกแบบ​ต่อ จำกัด​ขอบเขต พัก หรือ​ไม่​ใช้ / เหตุผล / ผู้​มี​อำนาจ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0D3F8F8B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43CDF330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คำถาม​ตรวจ​คุณภาพ  อ่าน​แล้ว​ทราบ​หรือ​ไม่​ว่า AI ทำ​อะไร​ได้​จริง ข้อมูล​มา​จาก​ไหน และ​ใคร​รับ​ผิด​ชอบ อย่า​ใช้​คำ​ว่า AI automation แทน​ราย​ละเอียด​ของ​กิจกรรม​และ​สิทธิ์</w:t>
      </w:r>
    </w:p>
    <w:p w14:paraId="3B92C221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ทะเบียน​ต้อง​รวม​การ​ใช้​จริง​ที่​ยัง​ไม่​อนุมัติ​ด้วย ระบุ​เพื่อ​ประเมิน​และ​แก้ไข ไม่​ถือว่า​การ​บันทึก​ใน​ทะเบียน​คือ​การ​อนุมัติ</w:t>
      </w:r>
    </w:p>
    <w:p w14:paraId="494BED21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3" w:name="_Toc242540161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2 Risk and Control Matrix</w:t>
      </w:r>
      <w:bookmarkEnd w:id="13"/>
    </w:p>
    <w:p w14:paraId="375F940C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ผูก​วัตถุประสงค์​กับ​ความเสี่ยง การ​ควบคุม เจ้าของ วิธี​ทดสอบ​และ​หลัก​ฐาน ใช้​แบบ​นี้​ต่อ​หนึ่ง​ความเสี่ยง แล้ว​เชื่อม control ที่​อาจ​ตอบ​หลาย​ความเสี่ยง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5A0CB1E3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35757BF7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77217830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3F2ECF4F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3411336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รหัส​และ​วัตถุประสงค์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12ED930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Use case ID / Risk ID / วัตถุประสงค์​หรือ​ข้อ​กล่าว​อ้าง​ที่​เกี่ยวข้อง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75368E1C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01D3DA0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สาเหตุ เหตุการณ์ ผลกระทบ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375FE73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ข้อมูล ระบบ คน​หรือ​ผู้​ให้​บริการ / สิ่ง​ที่​อาจ​ผิด / ผล​ต่อ​ธุรกิจ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2F20BF14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48F6CA8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การ​ประเมิน​ก่อน​ควบคุม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3EC538C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โอกาส ผลกระทบ ความเร็ว วง​กระทบ​และ​ข้อมูล​รองรับ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ระบุ​สิ่ง​ที่​ยัง​ไม่​ทราบ]</w:t>
            </w:r>
          </w:p>
        </w:tc>
      </w:tr>
      <w:tr w:rsidR="00254F00" w14:paraId="69CF8A2A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164F3B5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การ​ควบคุม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78A4EAC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Control ID / จุด​ใน​ขั้น​งาน / ป้องกัน ตรวจ​พบ จำกัด​วง​หรือ​แก้ไข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47C3AD5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59F45E2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วิธี​และ​ผู้​ปฏิบัติ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0ECDB3ED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ใคร​ทำ​อะไร เมื่อ​ใด ใช้​ข้อมูล เกณฑ์​และ​สิทธิ์​ใด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4FBEA255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2CE9A58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วิธี​ตรวจ​และ​หลัก​ฐาน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1A8086C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ผู้​ตรวจ วิธี​ทดสอบ ความถี่ ขอบเขต ผล​ที่​คาด​และ​ที่​เก็บ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2B1E0CE1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5F667942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การ​ประเมิน​หลัง​ควบคุม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7946C5C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ผล​จริง ประเด็น​คง​ค้าง ความเสี่ยง​คง​เหลือ​และ​เหตุผล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AD9A492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3AE0E66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การ​ตัดสิน​และ​ติดตาม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60F324D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เจ้าของ​แก้ กำหนด​เสร็จ ผู้​มี​อำนาจ​ยอมรับ​เมื่อ​จำเป็น วัน​ทบทวน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595D3577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0327368F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ตัวอย่าง​สมมติ  R-MATCH-01 จับ​คู่​ผิด​ตัว​แม้​ยอด​รวม​ตรง → C-ID-01 ตรวจ​ผู้​จ่าย​และ​เอกสาร​อ้างอิง → C-SAMPLE-01 ตรวจ​อิสระ​รายการ​ที่​ระบบ​ให้​ผ่าน → ติดตาม​ข้อ​ผิด​พลาด​ร่วม​และ​เกณฑ์​พัก​ใช้</w:t>
      </w:r>
    </w:p>
    <w:p w14:paraId="1AAFF672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อย่า​ลด​ระดับ​ความเสี่ยง​ด้วย​ชื่อ HITL หรือ​ผู้​อนุมัติ​เพียง​อย่าง​เดียว ต้อง​มี​เหตุผล​ด้าน​การ​ออกแบบ​และ​ผล​การ​ทำงาน​รองรับ</w:t>
      </w:r>
    </w:p>
    <w:p w14:paraId="516CFD19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4" w:name="_Toc242540162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3 Authority and Oversight Record</w:t>
      </w:r>
      <w:bookmarkEnd w:id="14"/>
    </w:p>
    <w:p w14:paraId="42447FEC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ขยาย DOA ให้​ครอบคลุม​การ​ใช้ AI โดย​ไม่​แก้​อำนาจ​เดิม​โดย​ปริยาย ใช้​ต่อ​หนึ่ง​กิจกรรม​หรือ​การ​ตัดสิน​ใจ และ​เชื่อม​กับ​นโยบาย อำนาจ​ลง​นาม​และ​สิทธิ์​จริง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00BD1C81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42D9D277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396C09B4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0D6BB3DA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71FB39B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กิจกรรม​และ​เอกสาร​อ้างอิง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4DE2B5F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Use case ID / Decision type / DOA clause / รุ่น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0285E1C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77DF73F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ผู้​มี​อำนาจ​และ​ขอบเขต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5271507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ชื่อ​บทบาท / เรื่อง​ที่​ตัดสิน​ได้ / วงเงิน​หรือ​เงื่อนไข / ข้อ​สงวน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3457A093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07AF4E90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คน​จัด​ทำ สอบทาน​และ​ดำเนิน​การ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6B659D7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ชื่อ​บทบาท / ความ​สามารถ / การ​ทดแทน​เมื่อ​ไม่​อยู่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10FDCEC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20B7EB11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สิทธิ์​ของ​ระบบ​และ​ผู้​ใช้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4AC19F7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อ่าน เสนอ เปลี่ยน​กฎ บันทึก​หรือ​กิจกรรม​อื่น / ขอบเขต​ที่​ห้าม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อ้าง access record]</w:t>
            </w:r>
          </w:p>
        </w:tc>
      </w:tr>
      <w:tr w:rsidR="00254F00" w14:paraId="28855290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589AF5C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Oversight และ​เวลา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4BD43F1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HITL HOTL หรือ HOOTL ใน​รอบ​ใด / HIC โดย​ใคร / เวลา​ตอบ​สนอง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0901749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1DBD25C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แบ่ง​แยก​หน้าที่​และ safeguard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7C5FC18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บทบาท​ขัด​กัน / วิธี​สอบทาน​เสริม / ผู้รับ​ผิด​ชอบ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22699889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32DA0AAF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ข้อ​ยกเว้น หยุด​และ​กลับ​มา​ใช้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71D8BA22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เกณฑ์​ส่ง​ต่อ / ใคร​พัก​ได้ / ใคร​อนุมัติ restart / ช่อง​ทาง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16BEC672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480D8A7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การ​อนุมัติ​และ​ทบทวน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4A86217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ผู้​อนุมัติ​ขอบเขต / วัน​ที่ / อายุ​เงื่อนไข / เหตุ​เปลี่ยน​ที่​ต้อง​ทบทวน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26F1705A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1D4E1B5A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คำถาม​ตรวจ​คุณภาพ  สิทธิ์​จริง​ตรง​กับ​อำนาจ​หรือ​ไม่ ผู้รับ​แจ้ง​หยุด​ได้​จริง​หรือ​เพียง​ส่ง​ต่อ อนุมัติ​กฎ​แล้ว​มี​ธุรกรรม​ใด​ที่​ยัง​ต้อง​อนุมัติ​แยก​ตาม​ข้อ​กำหนด</w:t>
      </w:r>
    </w:p>
    <w:p w14:paraId="6B8EE52F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ข้อ​ยกเว้น​ต้อง​ดู​สาระ​และ​ผลกระทบ การ​แก้​ข้อมูล​ทั่วไป​ไม่​จำเป็น​ต้อง​เป็นการ​ยอมรับ​ความเสี่ยง และ​ทุก sign-off ไม่​ได้​มี​ความ​หมาย​เหมือน​กัน</w:t>
      </w:r>
    </w:p>
    <w:p w14:paraId="125620C3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5" w:name="_Toc242540163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4 Judgment Record</w:t>
      </w:r>
      <w:bookmarkEnd w:id="15"/>
    </w:p>
    <w:p w14:paraId="0D4BC3E9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บันทึก​เหตุผล​ของ​การ​ตัดสิน​ที่​สำคัญ​ตาม​ความเสี่ยง ใช้​กับ​ประมาณการ ข้อ​ยกเว้น การ​เปลี่ยน​ขอบเขต หรือ​เรื่อง​ที่ AI เสนอ​ผล​แต่​คน​ต้อง​เลือก มิใช่​คำ​สั่ง​ให้​บันทึก​ทุก​คำ​ตอบ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35D95A0E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38254D50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0A13D4DA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20FE81CB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6E60A10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เรื่อง​และ​ขอบเขต​ตัดสิน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0C0E707F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Decision ID / Use case ID / งวด / เรื่อง​ที่​ต้อง​ตัดสิน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1DDBB9B0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5EC6116D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ข้อมูล​และ​สิ่ง​ที่​ยัง​ไม่​ทราบ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6F9763C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แหล่ง รุ่น หลัก​ฐาน ความ​น่า​เชื่อ​ถือ​และ​ข้อมูล​ขาด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อ้าง​เอกสาร]</w:t>
            </w:r>
          </w:p>
        </w:tc>
      </w:tr>
      <w:tr w:rsidR="00254F00" w14:paraId="70AA484B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116F5A1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ข้อ​เสนอ​ของ AI และ​ข้อ​จำกัด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77E03DA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ผล​สำคัญ วิธี​หรือ​สมมติฐาน​ที่​ทราบ และ​สิ่ง​ที่​ยัง​ตรวจ​ไม่​ได้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92ACED3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4FA4659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ทาง​เลือก​สำคัญ​และ​ข้อ​โต้​แย้ง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70DA7E4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ทาง​เลือก​ที่​มี​ผล​ต่อ​ข้อ​สรุป / ข้อมูล​ที่​ไม่​สนับสนุน​ข้อ​เสนอ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11A5B1A8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4A4D192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สิ่ง​ที่​ตรวจ​และ​เปลี่ยน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0ACA658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ตรวจ​อะไร​กับ​แหล่ง​ใด / แก้​หรือ​ไม่​รับ​ข้อ​เสนอ​ใด / เพราะ​อะไร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7CC1244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1C9D23B2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ข้อ​สรุป​และ​เหตุผล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536F16D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เลือก​อะไร เพราะ​อะไร ภาย​ใต้​ข้อ​จำกัด​และ​เงื่อนไข​ใด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2C52519D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1AE5A49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ผู้รับ​ผิด​ชอบ​และ​ความ​หมาย sign-off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76E78E7D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จัด​ทำ / สอบทาน / อนุมัติ​ภาย​ใต้​ข้อ​ใด​ของ DOA / วัน​เวลา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[กรอก​แยก​ตาม​บทบาท]</w:t>
            </w:r>
          </w:p>
        </w:tc>
      </w:tr>
      <w:tr w:rsidR="00254F00" w14:paraId="1238E5B6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6D11C5C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เรื่อง​ติดตาม​และ​การ​เก็บ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5DDD6A0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ประเด็น​ค้าง ผู้รับ​ผิด​ชอบ กำหนด​เสร็จ อายุ​เก็บ​และ​สิทธิ์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7D8612EA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2BCFF177" w14:textId="77777777" w:rsidR="00254F00" w:rsidRDefault="00254F00">
      <w:pPr>
        <w:pBdr>
          <w:left w:val="single" w:sz="24" w:space="10" w:color="8B1E1E"/>
        </w:pBdr>
        <w:shd w:val="clear" w:color="auto" w:fill="FBF0EE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ข้อความ​ที่​ยัง​ไม่​พอ  “ตรวจ​แล้ว เห็น​ชอบ​ตาม AI” ควร​ระบุ​ข้อมูล​ที่​ตรวจ ประเด็น​ที่​สำคัญ และ​เหตุผล​การ​เลือก​ให้​ผู้​อื่น​เข้าใจ​ภาย​หลัง</w:t>
      </w:r>
    </w:p>
    <w:p w14:paraId="6E2892D5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หาก​เป็นการ​ยอมรับ​ความเสี่ยง​คง​เหลือ ให้​ระบุ​ขอบเขต ความเสี่ยง เหตุผล​และ​อำนาจ​แยก​ชัด ไม่​อนุมาน​จาก​ลายมือ​ชื่อ​จัด​ทำ​หรือ​สอบทาน</w:t>
      </w:r>
    </w:p>
    <w:p w14:paraId="28527EAF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6" w:name="_Toc242540164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5 Test Plan and Results</w:t>
      </w:r>
      <w:bookmarkEnd w:id="16"/>
    </w:p>
    <w:p w14:paraId="7BE8457C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กำหนด​เกณฑ์​ล่วง​หน้า​และ​เก็บ​ผล​ทดสอบ​ที่​ตรวจ​ซ้ำ​ได้ ใช้​ต่อ​หนึ่ง test case แล้ว​สรุป​ความ​ครอบคลุม​ใน​แผน​รวม ผู้​ทดสอบ​ควร​มี​ความ​สามารถ​และ​ความ​เป็น​อิสระ​เหมาะ​กับ​สาระ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500F09C3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18708716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2FFB2033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1AB21BD4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6BF65162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รหัส​และ​ขอบเขต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639D0ABF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Test ID / Use case / Control ID / รุ่น​ข้อมูล​และ​ระบบ / ช่วง​ทดสอบ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441D955B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3DE250B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วัตถุประสงค์​และ​กรณี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2E3F0E8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สิ่ง​ที่​ทดสอบ / ปกติ ผิด​ปกติ ขอบเขต​หรือ​การ​ล้ม​เหลว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331ED225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3DF79A00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เกณฑ์​ผ่าน​และ​ฐาน​ยืนยัน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5EDBD8F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เกณฑ์​กำหนด​ก่อน​ทดสอบ / ผล​คาด / แหล่ง​อิสระ​ยืนยัน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วัน​ที่​อนุมัติ​เกณฑ์]</w:t>
            </w:r>
          </w:p>
        </w:tc>
      </w:tr>
      <w:tr w:rsidR="00254F00" w14:paraId="171C73CD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4070B68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วิธี​และ​ความ​ครอบคลุม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3F18024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ขั้น​ทดสอบ จำนวน วิธี​เลือก​และ​เหตุผล / ข้อ​จำกัด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20167497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39934BAD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สภาพ​แวดล้อม​และ​ความ​ปลอดภัย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62CAFB4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แยก​จาก​บัญชี​จริง / สิทธิ์ / การ​อนุมัติ​ข้อ​ผิด​พลาด​จำลอง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C08D318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1883754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ผล​จริง​และ​หลัก​ฐาน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06364BD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ผล​เทียบ​เกณฑ์ / ที่​เก็บ / ผู้​ทดสอบ / วัน​เวลา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1D8F067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299724F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ข้อ​บกพร่อง​และ​การ​แก้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2671410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สาระ ผลกระทบ เจ้าของ กำหนด​เสร็จ และ​เงื่อนไข​ที่​กระทบ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68E338B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5A8B7C1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ทดสอบ​ซ้ำ​และ​ข้อ​สรุป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3424E5B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 retest / ประเด็น​คง​ค้าง / ผู้​สอบทาน / ขอบเขต​ที่​สรุป​ได้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09F2D561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0F14ECB7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แผน​รวม​ต้อง​ครอบคลุม​ข้อมูล ตรรกะ สิทธิ์ การ​เปลี่ยน แจ้ง​เตือน หยุด วิธี​สำรอง​และ​ภาระ​คน​ตาม​ความเสี่ยง การ​ตรวจ​เอกสาร​ออกแบบ​อย่าง​เดียว​ไม่​เท่ากับ​ทดสอบ​การ​ทำงาน</w:t>
      </w:r>
    </w:p>
    <w:p w14:paraId="361C0C55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การ​เปลี่ยน​เกณฑ์​ต้อง​มี​เหตุผล อำนาจ​และ​การ​ทดสอบ​ใหม่ ห้าม​ทำให้​ผล​เดิม​ดู​ผ่าน​โดย​ลบ​ข้อ​จำกัด​หรือ​ปรับ​เกณฑ์​เงียบ ๆ</w:t>
      </w:r>
    </w:p>
    <w:p w14:paraId="1EE8FD4F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7" w:name="_Toc242540165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6 Go Live Decision Record</w:t>
      </w:r>
      <w:bookmarkEnd w:id="17"/>
    </w:p>
    <w:p w14:paraId="1CFC7980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ให้​ผู้​มี​อำนาจ​ตัดสิน​เริ่ม​ใช้​จาก​หลัก​ฐาน​ที่​เห็น​จริง ไม่ใช่​รับรอง​เพียง​ว่า​เอกสาร​ครบ การ​ประเมิน​นี้​ไม่​ทดแทน​การ​รับรอง​ระบบ​หรือ​การ​ให้​ความ​เชื่อ​มั่น​โดย​ผู้สอบบัญชี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355C55D2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55C7DB30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6F3091F5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17FDDB99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32552FD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ขอบเขต​เสนอ​เริ่ม​ใช้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0918D05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Use case ID / รุ่น / หน่วย​งาน งวด กิจกรรม​และ​ปริมาณ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37A306AD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00DE3A5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ข้อ​กำหนด​และ​อำนาจ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68704F6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ข้อ​กำหนด​ที่​ตรวจ / ผู้​ตรวจ / ผู้​มี​อำนาจ​ตาม DOA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765A8E58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0443DB2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ผล​ทดสอบ​และ​ข้อ​จำกัด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3A3AA1B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Test summary / เกณฑ์​ที่​ผ่าน​หรือ​ไม่​ผ่าน / หลัก​ฐาน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อ้าง​เอกสาร]</w:t>
            </w:r>
          </w:p>
        </w:tc>
      </w:tr>
      <w:tr w:rsidR="00254F00" w14:paraId="47627CB7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0B13ADE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ความ​พร้อม​ปฏิบัติ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0D0301A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คน สิทธิ์ คู่มือ หลัก​ฐาน แจ้ง​เตือน หยุด​และ​วิธี​สำรอง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สิ่ง​ที่​ยัง​ไม่​พร้อม]</w:t>
            </w:r>
          </w:p>
        </w:tc>
      </w:tr>
      <w:tr w:rsidR="00254F00" w14:paraId="674EE56B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285762A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ความเสี่ยง​คง​เหลือ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3B70894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ความเสี่ยง หลัก​ฐาน เหตุผล​ที่​ยอมรับ​ได้ และ​ผู้​มี​อำนาจ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ระบุ​เรื่อง​บังคับ​ที่​รับ​แทน​ไม่​ได้]</w:t>
            </w:r>
          </w:p>
        </w:tc>
      </w:tr>
      <w:tr w:rsidR="00254F00" w14:paraId="43785C86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58C4336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การ​ตัดสิน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79F4E81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อนุมัติ / มี​เงื่อนไข / เลื่อน / ไม่​ใช้ พร้อม​เหตุผล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[เลือก​และ​อธิบาย]</w:t>
            </w:r>
          </w:p>
        </w:tc>
      </w:tr>
      <w:tr w:rsidR="00254F00" w14:paraId="46086A12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7B8253E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เงื่อนไข​และ​อายุ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51DA7D5E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เพดาน ขอบเขต เจ้าของ​กำกับ กำหนด​สิ้น​สุด​และ​เกณฑ์​พัก​ใช้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[กรอก​ถ้า​มี]</w:t>
            </w:r>
          </w:p>
        </w:tc>
      </w:tr>
      <w:tr w:rsidR="00254F00" w14:paraId="5E5B0EC5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4BDA161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การ​ติดตาม​และ​ลง​นาม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088E839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วัน​ทบทวน ตัว​ชี้​วัด ผู้รับ​รายงาน / ผู้​ตัดสิน​และ​วัน​เวลา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553B2A18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64F6FFDC" w14:textId="77777777" w:rsidR="00254F00" w:rsidRDefault="00254F00">
      <w:pPr>
        <w:pBdr>
          <w:left w:val="single" w:sz="24" w:space="10" w:color="8B1E1E"/>
        </w:pBdr>
        <w:shd w:val="clear" w:color="auto" w:fill="FBF0EE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คำถาม​สุดท้าย​ก่อน​เริ่ม  หาก​ข้อมูล​ผิด สัญญา​ณ​หาย​หรือ​ผู้​ตรวจ​ไม่​อยู่ จะ​เกิด​อะไร ใคร​หยุด​ได้ และ​กิจกรรม​ใด​ต้อง​กลับ​ไป​ใช้​วิธี​สำรอง</w:t>
      </w:r>
    </w:p>
    <w:p w14:paraId="4973678C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การ​อนุมัติ​แบบ​มี​เงื่อนไข​ไม่ใช่​ช่อง​ทาง​ข้าม​ข้อ​กำหนด​บังคับ​หรือ​ข้อ​บกพร่อง​ที่​ยัง​ทำให้​ควบคุม​ผล​สำคัญ​ไม่​ได้</w:t>
      </w:r>
    </w:p>
    <w:p w14:paraId="22B7196E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8" w:name="_Toc242540166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7 Incident and Restart Record</w:t>
      </w:r>
      <w:bookmarkEnd w:id="18"/>
    </w:p>
    <w:p w14:paraId="4E92F7E6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เชื่อม​เหตุการณ์ การ​จำกัด​วง การ​แก้​และ​การก​ลับ​มา​ใช้​ให้​สอบทาน​ได้ บันทึก​สิ่ง​ที่​ยัง​ไม่​ทราบ​อย่าง​ชัดเจน และ​ปรับ​วง​กระทบ​เมื่อ​ได้​หลัก​ฐาน​เพิ่ม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50888566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730E9013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10BA2776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593388D3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2072885A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เหตุ​และ​การ​ตรวจ​พบ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64E5A68E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Incident ID / Use case / วัน​ที่​เวลา / สัญญา​ณ​และ​ผู้​แจ้ง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1420C578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2914EE6E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รุ่น​และ​วง​กระทบ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230BBB6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ข้อมูล โมเดล กฎ สิทธิ์ / รายการ งวด​หรือ​ผู้​เกี่ยวข้อง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ระบุ​ความ​ไม่​แน่นอน]</w:t>
            </w:r>
          </w:p>
        </w:tc>
      </w:tr>
      <w:tr w:rsidR="00254F00" w14:paraId="687CEE40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484453C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การ​พัก​และ​จำกัด​วง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004EC23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หยุด​อะไร โดย​ใคร เมื่อ​ใด / วิธี​สำรอง​และ​สิทธิ์​ที่​จำกัด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50B213B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1BCCF14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ผลกระทบ​และ​การ​สื่อสาร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20512BD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ผล​จริง​และ​ที่​อาจ​เกิด / ผู้รับ​แจ้ง​ตาม​ข้อ​กำหนด / วัน​เวลา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B59DB7E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7706BDA1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สาเหตุ​และ​การ​แก้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58A5CA9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ข้อมูล ระบบ คน​หรือ​กระบวนการ / วิธี​แก้ เจ้าของ​และ​กำหนด​เสร็จ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2D5057A6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71466C6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ผล​ทดสอบ​หลัง​แก้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35B9A088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Test IDs / กรณี​เดิม​และ​เกี่ยวข้อง / การ​หยุด / ข้อ​คง​ค้าง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AA6322D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7E3F57C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ข้อ​เสนอ​และ​การ​ตัดสิน restart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5F16D99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ขอบเขต รุ่น เงื่อนไข / ผู้​มี​อำนาจ​และ​เหตุผล / วัน​เวลา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6DF26A2F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24DFA44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ติดตาม​และ​ปิด​เหตุ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32AE90B6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การ​ติดตาม​เข้ม วัน​ทบทวน ผล​จริง บท​เรียน​และ​ผู้​ปิด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22CF4F7A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6FA000CD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อย่า​ปิด​เหตุ​จาก​การ​แก้​รายการ​เฉพาะ​อย่าง​เดียว ต้อง​ตรวจ​ว่า​สาเหตุ​ร่วม​ยัง​อยู่​หรือ​ไม่ มี​รายการ​ก่อน​หน้า​กระทบ​หรือ​ไม่ และ​การ​แจ้ง​เตือน​กับ​การ​หยุด​ทำงาน​จริง​หรือ​ไม่</w:t>
      </w:r>
    </w:p>
    <w:p w14:paraId="2FEDCF33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เจ้าของ​เหตุ​และ​ผู้​อนุมัติ restart ต้อง​มี​อำนาจ​ตาม​เนื้อหา​และ​ความเสี่ยง ไม่​จำเป็น​ต้อง​เป็น​บุคคล​เดียว​กับ​ผู้​อนุมัติ​ธุรกรรม​เดิม​ทุก​กรณี</w:t>
      </w:r>
    </w:p>
    <w:p w14:paraId="79E77B6A" w14:textId="77777777" w:rsidR="000D0AF5" w:rsidRDefault="000D0AF5">
      <w:pPr>
        <w:pStyle w:val="Heading1"/>
        <w:pageBreakBefore/>
        <w:pBdr>
          <w:left w:val="single" w:sz="48" w:space="8" w:color="B08D57"/>
        </w:pBdr>
        <w:shd w:val="clear" w:color="auto" w:fill="0B2545"/>
        <w:spacing w:before="0" w:line="278" w:lineRule="auto" w:after="220"/>
        <w:ind w:left="200"/>
        <w:rPr>
          <w:rFonts w:ascii="Sarabun" w:hAnsi="Sarabun" w:eastAsia="Sarabun" w:cs="Sarabun"/>
          <w:sz w:val="34"/>
          <w:szCs w:val="34"/>
          <w:lang w:val="th-TH"/>
        </w:rPr>
      </w:pPr>
      <w:bookmarkStart w:id="19" w:name="_Toc242540167"/>
      <w:r>
        <w:rPr>
          <w:rFonts w:ascii="Sarabun" w:hAnsi="Sarabun" w:eastAsia="Sarabun" w:cs="Sarabun"/>
          <w:bCs/>
          <w:noProof/>
          <w:szCs w:val="34"/>
          <w:lang w:val="th-TH" w:eastAsia="th-TH" w:bidi="th-TH"/>
          <w:sz w:val="34"/>
        </w:rPr>
        <w:lastRenderedPageBreak/>
        <w:t>แบบ​ฟอร์ม 8 Management Monitoring Review</w:t>
      </w:r>
      <w:bookmarkEnd w:id="19"/>
    </w:p>
    <w:p w14:paraId="6F070FCF" w14:textId="77777777" w:rsidR="00254F00" w:rsidRDefault="00254F00">
      <w:pPr>
        <w:pBdr>
          <w:left w:val="single" w:sz="24" w:space="10" w:color="B08D57"/>
        </w:pBdr>
        <w:shd w:val="clear" w:color="auto" w:fill="F8F3EA"/>
        <w:spacing w:before="0" w:after="120" w:line="275" w:lineRule="auto"/>
        <w:ind w:left="360" w:right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วัตถุประสงค์  สรุป​ผล​จริง​กับ baseline ประเด็น​คง​ค้าง และ​สิ่ง​ที่​ต้อง​ตัดสิน​ใน​การ​ทบทวน กำหนด​ความถี่​ตาม​ความเสี่ยง​และ​การ​เปลี่ยน ไม่​ใช้​รอบ​รายงาน​แทน​การ​แจ้ง​เตือน​ที่​ต้อง​ทัน​เวลา</w:t>
      </w:r>
    </w:p>
    <w:tbl>
      <w:tblPr>
        <w:tblW w:w="9026" w:type="dxa"/>
        <w:jc w:val="center"/>
        <w:tblBorders>
          <w:top w:val="single" w:sz="12" w:space="0" w:color="0B2545"/>
          <w:left w:val="nil"/>
          <w:bottom w:val="single" w:sz="12" w:space="0" w:color="0B2545"/>
          <w:right w:val="nil"/>
          <w:insideH w:val="single" w:sz="4" w:space="0" w:color="C9D3E0"/>
          <w:insideV w:val="single" w:sz="4" w:space="0" w:color="C9D3E0"/>
        </w:tblBorders>
        <w:tblLayout w:type="fixed"/>
        <w:tblCellMar>
          <w:top w:w="70" w:type="dxa"/>
          <w:left w:w="95" w:type="dxa"/>
          <w:bottom w:w="70" w:type="dxa"/>
          <w:right w:w="95" w:type="dxa"/>
        </w:tblCellMar>
        <w:tblLook w:val="04A0" w:firstRow="1" w:lastRow="0" w:firstColumn="1" w:lastColumn="0" w:noHBand="0" w:noVBand="1"/>
      </w:tblPr>
      <w:tblGrid>
        <w:gridCol w:w="2579"/>
        <w:gridCol w:w="6447"/>
      </w:tblGrid>
      <w:tr w:rsidR="00254F00" w14:paraId="02827768" w14:textId="77777777">
        <w:trPr>
          <w:cantSplit/>
          <w:tblHeader/>
          <w:jc w:val="center"/>
        </w:trPr>
        <w:tc>
          <w:tcPr>
            <w:tcW w:w="2579" w:type="dxa"/>
            <w:shd w:val="clear" w:color="auto" w:fill="0B2545"/>
            <w:vAlign w:val="center"/>
          </w:tcPr>
          <w:p w14:paraId="25480D86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หัวข้อ</w:t>
            </w:r>
          </w:p>
        </w:tc>
        <w:tc>
          <w:tcPr>
            <w:tcW w:w="6447" w:type="dxa"/>
            <w:shd w:val="clear" w:color="auto" w:fill="0B2545"/>
            <w:vAlign w:val="center"/>
          </w:tcPr>
          <w:p w14:paraId="583BA053" w14:textId="77777777" w:rsidR="00254F00" w:rsidRDefault="00254F00">
            <w:pPr>
              <w:spacing w:before="30" w:after="30" w:line="260" w:lineRule="auto"/>
              <w:jc w:val="center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b/>
                <w:bCs/>
                <w:noProof/>
                <w:color w:val="FFFFFF"/>
                <w:sz w:val="21"/>
                <w:szCs w:val="21"/>
                <w:lang w:val="th-TH" w:eastAsia="th-TH" w:bidi="th-TH"/>
              </w:rPr>
              <w:t>ข้อมูล​ที่​ต้อง​กรอก</w:t>
            </w:r>
          </w:p>
        </w:tc>
      </w:tr>
      <w:tr w:rsidR="00254F00" w14:paraId="583DE8DC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622B8FCB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ขอบเขต​และ​ช่วง​รายงาน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3C3855B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Use cases / กระบวนการ / งวด / เจ้าของ​รายงาน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5DAA4BF2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5A1B186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คุณค่า​เทียบ baseline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5C8461D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เวลา​สุทธิ ต้นทุน​รวม คุณภาพ​และ​งาน​แก้ / วิธี​วัด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1DB74E38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693070C2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คุณภาพ​และ​การ​ตรวจ​อิสระ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0262A742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ข้อ​ผิด​พลาด​ที่​หลุด​ผ่าน ผล​สุ่ม​ตรวจ​และ​วง​กระทบ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 / อ้าง​หลัก​ฐาน]</w:t>
            </w:r>
          </w:p>
        </w:tc>
      </w:tr>
      <w:tr w:rsidR="00254F00" w14:paraId="5587CFFF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1C407983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Oversight และ​ภาระ​งาน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708265C9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ผู้​ตรวจ​มี​ข้อมูล เวลา อำนาจ​หรือ​ไม่ / งาน​ค้าง / การ​ตอบ​สนอง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5D96E41B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56434CC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เหตุการณ์​และ​ข้อ​ยกเว้น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6EE4E0F4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เหตุ​สำคัญ เวลา​แจ้ง​ถึง​หยุด เรื่อง​ค้าง​และ​กำหนด​แก้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75E9D73D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00B9B63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การ​เปลี่ยน​และ​ข้อ​กำหนด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6F8FACE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รุ่น ข้อมูล สิทธิ์ ผู้​ให้​บริการ / สิ่ง​ที่​ต้อง​ทดสอบ​หรือ​ทบทวน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04BBB2EA" w14:textId="77777777">
        <w:trPr>
          <w:cantSplit/>
          <w:jc w:val="center"/>
        </w:trPr>
        <w:tc>
          <w:tcPr>
            <w:tcW w:w="2579" w:type="dxa"/>
            <w:shd w:val="clear" w:color="auto" w:fill="FFFFFF"/>
            <w:vAlign w:val="center"/>
          </w:tcPr>
          <w:p w14:paraId="26F32E21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ความเสี่ยง​คง​เหลือ​และ​สิ่ง​ที่​ยัง​ไม่รู้</w:t>
            </w:r>
          </w:p>
        </w:tc>
        <w:tc>
          <w:tcPr>
            <w:tcW w:w="6447" w:type="dxa"/>
            <w:shd w:val="clear" w:color="auto" w:fill="FFFFFF"/>
            <w:vAlign w:val="center"/>
          </w:tcPr>
          <w:p w14:paraId="5A3D8247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ผล​ประเมิน​ล่าสุด ข้อ​จำกัด​ข้อมูล​และ​เรื่อง​ที่​ต้อง​ส่ง​ต่อ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  <w:tr w:rsidR="00254F00" w14:paraId="380CA4FE" w14:textId="77777777">
        <w:trPr>
          <w:cantSplit/>
          <w:jc w:val="center"/>
        </w:trPr>
        <w:tc>
          <w:tcPr>
            <w:tcW w:w="2579" w:type="dxa"/>
            <w:shd w:val="clear" w:color="auto" w:fill="F3F6FA"/>
            <w:vAlign w:val="center"/>
          </w:tcPr>
          <w:p w14:paraId="2FCB7BAC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การ​ตัดสิน​และ​ติดตาม</w:t>
            </w:r>
          </w:p>
        </w:tc>
        <w:tc>
          <w:tcPr>
            <w:tcW w:w="6447" w:type="dxa"/>
            <w:shd w:val="clear" w:color="auto" w:fill="F3F6FA"/>
            <w:vAlign w:val="center"/>
          </w:tcPr>
          <w:p w14:paraId="2C5445F5" w14:textId="77777777" w:rsidR="00254F00" w:rsidRDefault="00254F00">
            <w:pPr>
              <w:spacing w:after="30" w:line="260" w:lineRule="auto" w:before="30"/>
              <w:rPr>
                <w:rFonts w:ascii="Sarabun" w:hAnsi="Sarabun" w:eastAsia="Sarabun" w:cs="Sarabun"/>
                <w:sz w:val="21"/>
                <w:szCs w:val="21"/>
                <w:lang w:val="th-TH"/>
              </w:rPr>
            </w:pP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t>คง​เดิม จำกัด ขยาย พัก​หรือ​แก้ / เหตุผล เจ้าของ​และ​วัน​ทบทวน</w:t>
            </w:r>
            <w:r>
              <w:rPr>
                <w:rFonts w:ascii="Sarabun" w:hAnsi="Sarabun" w:eastAsia="Sarabun" w:cs="Sarabun"/>
                <w:noProof/>
                <w:sz w:val="21"/>
                <w:szCs w:val="21"/>
                <w:lang w:val="th-TH" w:eastAsia="th-TH" w:bidi="th-TH"/>
              </w:rPr>
              <w:br/>
              <w:t>[กรอก]</w:t>
            </w:r>
          </w:p>
        </w:tc>
      </w:tr>
    </w:tbl>
    <w:p w14:paraId="1232F210" w14:textId="77777777" w:rsidR="00ED155C" w:rsidRDefault="00ED155C">
      <w:pPr>
        <w:spacing w:after="120" w:before="0" w:line="275" w:lineRule="auto"/>
        <w:rPr>
          <w:rFonts w:ascii="Sarabun" w:hAnsi="Sarabun" w:eastAsia="Sarabun" w:cs="Sarabun"/>
          <w:sz w:val="23"/>
          <w:szCs w:val="23"/>
          <w:lang w:val="th-TH"/>
        </w:rPr>
      </w:pPr>
    </w:p>
    <w:p w14:paraId="57B84A47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การ​รายงาน​ต่อ​ผู้​กำกับ​ดูแล​ควร​ชี้​เรื่อง​สำคัญ​ต่อ​วัตถุประสงค์​และ​ความเสี่ยง ไม่​ส่ง​เพียง​จำนวน prompts หรือ​เปอร์เซ็นต์​ที่ AI ทำได้ ให้​ระบุ​สิ่ง​ที่​ต้อง​ตัดสิน​พร้อม​อำนาจ​และ​ทาง​เลือก</w:t>
      </w:r>
    </w:p>
    <w:p w14:paraId="456B8A41" w14:textId="77777777" w:rsidR="00254F00" w:rsidRDefault="00254F00">
      <w:pPr>
        <w:spacing w:line="275" w:lineRule="auto" w:before="0" w:after="120"/>
        <w:rPr>
          <w:rFonts w:ascii="Sarabun" w:hAnsi="Sarabun" w:eastAsia="Sarabun" w:cs="Sarabun"/>
          <w:sz w:val="23"/>
          <w:szCs w:val="23"/>
          <w:lang w:val="th-TH"/>
        </w:rPr>
      </w:pPr>
      <w:r>
        <w:rPr>
          <w:rFonts w:ascii="Sarabun" w:hAnsi="Sarabun" w:eastAsia="Sarabun" w:cs="Sarabun"/>
          <w:noProof/>
          <w:szCs w:val="23"/>
          <w:lang w:val="th-TH" w:eastAsia="th-TH" w:bidi="th-TH"/>
          <w:sz w:val="23"/>
        </w:rPr>
        <w:t>ใช้​ผล​จริง​ปรับ use case RCM DOA คู่มือ​และ​แผน​ทดสอบ บันทึก​ทั้ง​ประโยชน์​และ​ต้นทุน​ที่​เพิ่ม​จาก​การ​ควบคุม</w:t>
      </w:r>
    </w:p>
    <w:sectPr w:rsidR="0014596C" w:rsidSect="0014596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7" w:h="16839"/>
      <w:pgMar w:top="1440" w:right="1440" w:bottom="1440" w:left="1440" w:header="403" w:footer="40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AEEB" w14:textId="77777777" w:rsidR="00B2746D" w:rsidRDefault="00B2746D">
      <w:pPr>
        <w:spacing w:after="0" w:line="240" w:lineRule="auto"/>
      </w:pPr>
      <w:r>
        <w:separator/>
      </w:r>
    </w:p>
  </w:endnote>
  <w:endnote w:type="continuationSeparator" w:id="0">
    <w:p w14:paraId="77EF88B8" w14:textId="77777777" w:rsidR="00B2746D" w:rsidRDefault="00B27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arabun">
    <w:altName w:val="Cambria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C9AEC" w14:textId="77777777" w:rsidR="0014596C" w:rsidRDefault="0014596C">
    <w:pPr>
      <w:pStyle w:val="Footer"/>
      <w:spacing w:before="0" w:after="0" w:line="240" w:lineRule="auto"/>
      <w:rPr>
        <w:rFonts w:ascii="Sarabun" w:hAnsi="Sarabun" w:eastAsia="Sarabun" w:cs="Sarabun"/>
        <w:sz w:val="16"/>
        <w:szCs w:val="16"/>
        <w:lang w:val="th-TH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701B" w14:textId="77777777" w:rsidR="00935E97" w:rsidRPr="001E52E4" w:rsidRDefault="00935E97">
    <w:pPr>
      <w:pStyle w:val="Footer"/>
      <w:pBdr>
        <w:top w:val="single" w:sz="6" w:space="6" w:color="B08D57"/>
      </w:pBdr>
      <w:jc w:val="center"/>
      <w:rPr>
        <w:sz w:val="16"/>
        <w:szCs w:val="16"/>
        <w:rFonts w:ascii="Sarabun" w:hAnsi="Sarabun" w:eastAsia="Sarabun" w:cs="Sarabun"/>
        <w:lang w:val="th-TH"/>
      </w:rPr>
      <w:spacing w:before="0" w:after="0" w:line="240" w:lineRule="auto"/>
    </w:pPr>
    <w:r w:rsidRPr="001E52E4">
      <w:rPr>
        <w:rFonts w:ascii="Sarabun" w:hAnsi="Sarabun" w:eastAsia="Sarabun" w:cs="Sarabun"/>
        <w:noProof/>
        <w:color w:val="0B2545"/>
        <w:sz w:val="16"/>
        <w:szCs w:val="16"/>
        <w:lang w:val="th-TH" w:eastAsia="th-TH" w:bidi="th-TH"/>
      </w:rPr>
      <w:t>DHISORA | v1.0.1 | หน้า </w:t>
    </w:r>
    <w:r w:rsidRPr="001E52E4">
      <w:rPr>
        <w:rFonts w:ascii="Sarabun" w:hAnsi="Sarabun" w:eastAsia="Sarabun" w:cs="Sarabun"/>
        <w:noProof/>
        <w:color w:val="0B2545"/>
        <w:sz w:val="16"/>
        <w:szCs w:val="16"/>
        <w:lang w:bidi="th-TH" w:val="th-TH"/>
      </w:rPr>
      <w:fldChar w:fldCharType="begin"/>
    </w:r>
    <w:r w:rsidRPr="001E52E4">
      <w:rPr>
        <w:rFonts w:ascii="Sarabun" w:hAnsi="Sarabun" w:eastAsia="Sarabun" w:cs="Sarabun"/>
        <w:noProof/>
        <w:color w:val="0B2545"/>
        <w:sz w:val="16"/>
        <w:szCs w:val="16"/>
        <w:lang w:bidi="th-TH" w:val="th-TH"/>
      </w:rPr>
      <w:instrText>PAGE</w:instrText>
    </w:r>
    <w:r w:rsidRPr="001E52E4">
      <w:rPr>
        <w:rFonts w:ascii="Sarabun" w:hAnsi="Sarabun" w:eastAsia="Sarabun" w:cs="Sarabun"/>
        <w:noProof/>
        <w:color w:val="0B2545"/>
        <w:sz w:val="16"/>
        <w:szCs w:val="16"/>
        <w:lang w:bidi="th-TH" w:val="th-TH"/>
      </w:rPr>
      <w:fldChar w:fldCharType="separate"/>
    </w:r>
    <w:r w:rsidRPr="001E52E4">
      <w:rPr>
        <w:rFonts w:ascii="Sarabun" w:hAnsi="Sarabun" w:eastAsia="Sarabun" w:cs="Sarabun"/>
        <w:noProof/>
        <w:color w:val="0B2545"/>
        <w:sz w:val="16"/>
        <w:szCs w:val="16"/>
        <w:lang w:bidi="th-TH" w:val="th-TH"/>
      </w:rPr>
      <w:t>2</w:t>
    </w:r>
    <w:r w:rsidRPr="001E52E4">
      <w:rPr>
        <w:rFonts w:ascii="Sarabun" w:hAnsi="Sarabun" w:eastAsia="Sarabun" w:cs="Sarabun"/>
        <w:noProof/>
        <w:color w:val="0B2545"/>
        <w:sz w:val="16"/>
        <w:szCs w:val="16"/>
        <w:lang w:bidi="th-TH" w:val="th-TH"/>
      </w:rPr>
      <w:fldChar w:fldCharType="end"/>
    </w:r>
  </w:p>
  <w:p>
    <w:pPr>
      <w:spacing w:before="0" w:after="0" w:line="240" w:lineRule="auto"/>
      <w:rPr>
        <w:rFonts w:ascii="Sarabun" w:hAnsi="Sarabun" w:eastAsia="Sarabun" w:cs="Sarabun"/>
        <w:sz w:val="16"/>
        <w:szCs w:val="16"/>
        <w:lang w:val="th-TH"/>
      </w:rPr>
    </w:pPr>
    <w:r>
      <w:rPr>
        <w:rFonts w:ascii="Sarabun" w:hAnsi="Sarabun" w:eastAsia="Sarabun" w:cs="Sarabun"/>
        <w:sz w:val="16"/>
        <w:szCs w:val="16"/>
        <w:lang w:val="th-TH"/>
      </w:rPr>
      <w:t>แนวทางทั่วไป ต้องปรับตามบริบทกิจการ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6D4F1" w14:textId="77777777" w:rsidR="0014596C" w:rsidRDefault="0014596C">
    <w:pPr>
      <w:pStyle w:val="Footer"/>
      <w:spacing w:before="0" w:after="0" w:line="240" w:lineRule="auto"/>
      <w:rPr>
        <w:rFonts w:ascii="Sarabun" w:hAnsi="Sarabun" w:eastAsia="Sarabun" w:cs="Sarabun"/>
        <w:sz w:val="16"/>
        <w:szCs w:val="16"/>
        <w:lang w:val="th-T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BCF80" w14:textId="77777777" w:rsidR="00B2746D" w:rsidRDefault="00B2746D">
      <w:pPr>
        <w:spacing w:after="0" w:line="240" w:lineRule="auto"/>
      </w:pPr>
      <w:r>
        <w:separator/>
      </w:r>
    </w:p>
  </w:footnote>
  <w:footnote w:type="continuationSeparator" w:id="0">
    <w:p w14:paraId="04F792D1" w14:textId="77777777" w:rsidR="00B2746D" w:rsidRDefault="00B27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70132" w14:textId="77777777" w:rsidR="0014596C" w:rsidRDefault="0014596C">
    <w:pPr>
      <w:pStyle w:val="Header"/>
      <w:spacing w:before="0" w:after="0" w:line="240" w:lineRule="auto"/>
      <w:rPr>
        <w:rFonts w:ascii="Sarabun" w:hAnsi="Sarabun" w:eastAsia="Sarabun" w:cs="Sarabun"/>
        <w:sz w:val="16"/>
        <w:szCs w:val="16"/>
        <w:lang w:val="th-T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5752" w14:textId="77777777" w:rsidR="0014596C" w:rsidRPr="00935E97" w:rsidRDefault="0014596C" w:rsidP="00E85FAF">
    <w:pPr>
      <w:pStyle w:val="Header"/>
      <w:jc w:val="center"/>
      <w:rPr>
        <w:color w:val="B08D57"/>
        <w:sz w:val="16"/>
        <w:szCs w:val="16"/>
        <w:rFonts w:ascii="Sarabun" w:hAnsi="Sarabun" w:eastAsia="Sarabun" w:cs="Sarabun"/>
        <w:lang w:val="th-TH"/>
      </w:rPr>
      <w:spacing w:before="0" w:after="0" w:line="240" w:lineRule="auto"/>
    </w:pPr>
    <w:r w:rsidRPr="00935E97">
      <w:rPr>
        <w:noProof/>
        <w:color w:val="B08D57"/>
        <w:sz w:val="16"/>
        <w:szCs w:val="16"/>
        <w:lang w:val="th-TH" w:eastAsia="th-TH" w:bidi="th-TH"/>
        <w:rFonts w:ascii="Sarabun" w:hAnsi="Sarabun" w:eastAsia="Sarabun" w:cs="Sarabun"/>
      </w:rPr>
      <w:t>DHISORA ADVISORY   /   JUDGMENT AND HUMAN OVERSIGHT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B777F" w14:textId="77777777" w:rsidR="0014596C" w:rsidRDefault="0014596C">
    <w:pPr>
      <w:pStyle w:val="Header"/>
      <w:spacing w:before="0" w:after="0" w:line="240" w:lineRule="auto"/>
      <w:rPr>
        <w:rFonts w:ascii="Sarabun" w:hAnsi="Sarabun" w:eastAsia="Sarabun" w:cs="Sarabun"/>
        <w:sz w:val="16"/>
        <w:szCs w:val="16"/>
        <w:lang w:val="th-TH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8D6D88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810F26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A9AA52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CB8FCD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0F6580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42D17D7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F3C3D4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33159963">
    <w:abstractNumId w:val="9"/>
  </w:num>
  <w:num w:numId="2" w16cid:durableId="888105425">
    <w:abstractNumId w:val="7"/>
  </w:num>
  <w:num w:numId="3" w16cid:durableId="1632855635">
    <w:abstractNumId w:val="6"/>
  </w:num>
  <w:num w:numId="4" w16cid:durableId="1692411573">
    <w:abstractNumId w:val="5"/>
  </w:num>
  <w:num w:numId="5" w16cid:durableId="130026940">
    <w:abstractNumId w:val="8"/>
  </w:num>
  <w:num w:numId="6" w16cid:durableId="489367973">
    <w:abstractNumId w:val="3"/>
  </w:num>
  <w:num w:numId="7" w16cid:durableId="1636062496">
    <w:abstractNumId w:val="2"/>
  </w:num>
  <w:num w:numId="8" w16cid:durableId="72318113">
    <w:abstractNumId w:val="1"/>
  </w:num>
  <w:num w:numId="9" w16cid:durableId="152986138">
    <w:abstractNumId w:val="0"/>
  </w:num>
  <w:num w:numId="10" w16cid:durableId="759764727">
    <w:abstractNumId w:val="11"/>
  </w:num>
  <w:num w:numId="11" w16cid:durableId="1681932240">
    <w:abstractNumId w:val="12"/>
  </w:num>
  <w:num w:numId="12" w16cid:durableId="2118674005">
    <w:abstractNumId w:val="10"/>
  </w:num>
  <w:num w:numId="13" w16cid:durableId="948240971">
    <w:abstractNumId w:val="4"/>
  </w:num>
  <w:num w:numId="14" w16cid:durableId="1488089010">
    <w:abstractNumId w:val="1"/>
  </w:num>
  <w:num w:numId="15" w16cid:durableId="268465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0AF5"/>
    <w:rsid w:val="0014596C"/>
    <w:rsid w:val="0015074B"/>
    <w:rsid w:val="001E52E4"/>
    <w:rsid w:val="00210503"/>
    <w:rsid w:val="00254F00"/>
    <w:rsid w:val="0029639D"/>
    <w:rsid w:val="00326F90"/>
    <w:rsid w:val="00935E97"/>
    <w:rsid w:val="00AA1D8D"/>
    <w:rsid w:val="00B2746D"/>
    <w:rsid w:val="00B47730"/>
    <w:rsid w:val="00CB0664"/>
    <w:rsid w:val="00E85FAF"/>
    <w:rsid w:val="00ED155C"/>
    <w:rsid w:val="00F951A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836749"/>
  <w14:defaultImageDpi w14:val="300"/>
  <w15:docId w15:val="{C91297F5-29BE-4AFE-BB10-B74A881A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rabun" w:hAnsi="Sarabun" w:eastAsia="Sarabun" w:cs="Sarab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60" w:line="264" w:lineRule="auto"/>
    </w:pPr>
    <w:rPr>
      <w:rFonts w:ascii="Sarabun" w:hAnsi="Sarabun" w:eastAsia="Sarabun" w:cs="Sarabun"/>
      <w:color w:val="262626"/>
      <w:sz w:val="32"/>
      <w:szCs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00"/>
      <w:outlineLvl w:val="0"/>
    </w:pPr>
    <w:rPr>
      <w:b/>
      <w:color w:val="FFFFFF"/>
      <w:sz w:val="42"/>
      <w:szCs w:val="38"/>
      <w:rFonts w:ascii="Sarabun" w:hAnsi="Sarabun" w:eastAsia="Sarabun" w:cs="Sarabu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b/>
      <w:color w:val="1F4E79"/>
      <w:sz w:val="34"/>
      <w:szCs w:val="28"/>
      <w:rFonts w:ascii="Sarabun" w:hAnsi="Sarabun" w:eastAsia="Sarabun" w:cs="Sarabu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  <w:rFonts w:ascii="Sarabun" w:hAnsi="Sarabun" w:eastAsia="Sarabun" w:cs="Sarabu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  <w:rFonts w:ascii="Sarabun" w:hAnsi="Sarabun" w:eastAsia="Sarabun" w:cs="Sarabu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  <w:rFonts w:ascii="Sarabun" w:hAnsi="Sarabun" w:eastAsia="Sarabun" w:cs="Sarabu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  <w:rFonts w:ascii="Sarabun" w:hAnsi="Sarabun" w:eastAsia="Sarabun" w:cs="Sarabu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  <w:rFonts w:ascii="Sarabun" w:hAnsi="Sarabun" w:eastAsia="Sarabun" w:cs="Sarabu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 w:val="20"/>
      <w:szCs w:val="20"/>
      <w:rFonts w:ascii="Sarabun" w:hAnsi="Sarabun" w:eastAsia="Sarabun" w:cs="Sarabu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 w:val="20"/>
      <w:szCs w:val="20"/>
      <w:rFonts w:ascii="Sarabun" w:hAnsi="Sarabun" w:eastAsia="Sarabun" w:cs="Sarabu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Sarabun" w:hAnsi="Sarabun" w:eastAsia="Sarabun" w:cs="Sarabun"/>
      <w:b/>
      <w:color w:val="FFFFFF"/>
      <w:sz w:val="42"/>
      <w:szCs w:val="3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Sarabun" w:hAnsi="Sarabun" w:eastAsia="Sarabun" w:cs="Sarabun"/>
      <w:b/>
      <w:color w:val="1F4E79"/>
      <w:sz w:val="34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b/>
      <w:bCs/>
      <w:color w:val="4F81BD" w:themeColor="accent1"/>
      <w:rFonts w:ascii="Sarabun" w:hAnsi="Sarabun" w:eastAsia="Sarabun" w:cs="Sarabun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200"/>
      <w:contextualSpacing/>
    </w:pPr>
    <w:rPr>
      <w:bCs/>
      <w:color w:val="FFFFFF"/>
      <w:spacing w:val="5"/>
      <w:kern w:val="28"/>
      <w:sz w:val="64"/>
      <w:szCs w:val="58"/>
      <w:rFonts w:ascii="Sarabun" w:hAnsi="Sarabun" w:eastAsia="Sarabun" w:cs="Sarabun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Sarabun" w:hAnsi="Sarabun" w:eastAsia="Sarabun" w:cs="Sarabun"/>
      <w:bCs/>
      <w:color w:val="FFFFFF"/>
      <w:spacing w:val="5"/>
      <w:kern w:val="28"/>
      <w:sz w:val="64"/>
      <w:szCs w:val="5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  <w:rFonts w:ascii="Sarabun" w:hAnsi="Sarabun" w:eastAsia="Sarabun" w:cs="Sarabun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i/>
      <w:iCs/>
      <w:color w:val="4F81BD" w:themeColor="accent1"/>
      <w:spacing w:val="15"/>
      <w:sz w:val="24"/>
      <w:szCs w:val="24"/>
      <w:rFonts w:ascii="Sarabun" w:hAnsi="Sarabun" w:eastAsia="Sarabun" w:cs="Sarabun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  <w:rFonts w:ascii="Sarabun" w:hAnsi="Sarabun" w:eastAsia="Sarabun" w:cs="Sarabun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  <w:rFonts w:ascii="Sarabun" w:hAnsi="Sarabun" w:eastAsia="Sarabun" w:cs="Sarabun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Sarabun" w:hAnsi="Sarabun" w:eastAsia="Sarabun" w:cs="Sarabu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Sarabun" w:hAnsi="Sarabun" w:eastAsia="Sarabun" w:cs="Sarabu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  <w:rFonts w:ascii="Sarabun" w:hAnsi="Sarabun" w:eastAsia="Sarabun" w:cs="Sarabun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  <w:rFonts w:ascii="Sarabun" w:hAnsi="Sarabun" w:eastAsia="Sarabun" w:cs="Sarabu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b/>
      <w:bCs/>
      <w:i/>
      <w:iCs/>
      <w:color w:val="4F81BD" w:themeColor="accent1"/>
      <w:rFonts w:ascii="Sarabun" w:hAnsi="Sarabun" w:eastAsia="Sarabun" w:cs="Sarabu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color w:val="243F60" w:themeColor="accent1" w:themeShade="7F"/>
      <w:rFonts w:ascii="Sarabun" w:hAnsi="Sarabun" w:eastAsia="Sarabun" w:cs="Sarabu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i/>
      <w:iCs/>
      <w:color w:val="243F60" w:themeColor="accent1" w:themeShade="7F"/>
      <w:rFonts w:ascii="Sarabun" w:hAnsi="Sarabun" w:eastAsia="Sarabun" w:cs="Sarabu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i/>
      <w:iCs/>
      <w:color w:val="404040" w:themeColor="text1" w:themeTint="BF"/>
      <w:rFonts w:ascii="Sarabun" w:hAnsi="Sarabun" w:eastAsia="Sarabun" w:cs="Sarabu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color w:val="4F81BD" w:themeColor="accent1"/>
      <w:sz w:val="20"/>
      <w:szCs w:val="20"/>
      <w:rFonts w:ascii="Sarabun" w:hAnsi="Sarabun" w:eastAsia="Sarabun" w:cs="Sarabu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i/>
      <w:iCs/>
      <w:color w:val="404040" w:themeColor="text1" w:themeTint="BF"/>
      <w:sz w:val="20"/>
      <w:szCs w:val="20"/>
      <w:rFonts w:ascii="Sarabun" w:hAnsi="Sarabun" w:eastAsia="Sarabun" w:cs="Sarabun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  <w:rFonts w:ascii="Sarabun" w:hAnsi="Sarabun" w:eastAsia="Sarabun" w:cs="Sarabun"/>
    </w:rPr>
  </w:style>
  <w:style w:type="character" w:styleId="Strong">
    <w:name w:val="Strong"/>
    <w:basedOn w:val="DefaultParagraphFont"/>
    <w:uiPriority w:val="22"/>
    <w:qFormat/>
    <w:rsid w:val="00FC693F"/>
    <w:rPr>
      <w:b/>
      <w:bCs/>
      <w:rFonts w:ascii="Sarabun" w:hAnsi="Sarabun" w:eastAsia="Sarabun" w:cs="Sarabun"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  <w:rFonts w:ascii="Sarabun" w:hAnsi="Sarabun" w:eastAsia="Sarabun" w:cs="Sarabun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  <w:rFonts w:ascii="Sarabun" w:hAnsi="Sarabun" w:eastAsia="Sarabun" w:cs="Sarabu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  <w:rFonts w:ascii="Sarabun" w:hAnsi="Sarabun" w:eastAsia="Sarabun" w:cs="Sarabun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  <w:rFonts w:ascii="Sarabun" w:hAnsi="Sarabun" w:eastAsia="Sarabun" w:cs="Sarabun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  <w:rFonts w:ascii="Sarabun" w:hAnsi="Sarabun" w:eastAsia="Sarabun" w:cs="Sarabun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  <w:rFonts w:ascii="Sarabun" w:hAnsi="Sarabun" w:eastAsia="Sarabun" w:cs="Sarabun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  <w:rFonts w:ascii="Sarabun" w:hAnsi="Sarabun" w:eastAsia="Sarabun" w:cs="Sarabun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  <w:rFonts w:ascii="Sarabun" w:hAnsi="Sarabun" w:eastAsia="Sarabun" w:cs="Sarabu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  <w:rFonts w:ascii="Sarabun" w:hAnsi="Sarabun" w:eastAsia="Sarabun" w:cs="Sarabun"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  <w:rFonts w:ascii="Sarabun" w:hAnsi="Sarabun" w:eastAsia="Sarabun" w:cs="Sarabu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rFonts w:ascii="Sarabun" w:hAnsi="Sarabun" w:eastAsia="Sarabun" w:cs="Sarabu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  <w:rFonts w:ascii="Sarabun" w:hAnsi="Sarabun" w:eastAsia="Sarabun" w:cs="Sarabun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  <w:rFonts w:ascii="Sarabun" w:hAnsi="Sarabun" w:eastAsia="Sarabun" w:cs="Sarabun"/>
      </w:rPr>
    </w:tblStylePr>
    <w:tblStylePr w:type="nwCell">
      <w:rPr>
        <w:color w:val="000000" w:themeColor="text1"/>
        <w:rFonts w:ascii="Sarabun" w:hAnsi="Sarabun" w:eastAsia="Sarabun" w:cs="Sarabun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  <w:rFonts w:ascii="Sarabun" w:hAnsi="Sarabun" w:eastAsia="Sarabun" w:cs="Sarabun"/>
      </w:rPr>
    </w:tblStylePr>
    <w:tblStylePr w:type="nwCell">
      <w:rPr>
        <w:color w:val="000000" w:themeColor="text1"/>
        <w:rFonts w:ascii="Sarabun" w:hAnsi="Sarabun" w:eastAsia="Sarabun" w:cs="Sarabun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:rFonts w:ascii="Sarabun" w:hAnsi="Sarabun" w:eastAsia="Sarabun" w:cs="Sarabun"/>
      </w:rPr>
    </w:tblStylePr>
    <w:tblStylePr w:type="nwCell">
      <w:rPr>
        <w:color w:val="000000" w:themeColor="text1"/>
        <w:rFonts w:ascii="Sarabun" w:hAnsi="Sarabun" w:eastAsia="Sarabun" w:cs="Sarabun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:rFonts w:ascii="Sarabun" w:hAnsi="Sarabun" w:eastAsia="Sarabun" w:cs="Sarabun"/>
      </w:rPr>
    </w:tblStylePr>
    <w:tblStylePr w:type="nwCell">
      <w:rPr>
        <w:color w:val="000000" w:themeColor="text1"/>
        <w:rFonts w:ascii="Sarabun" w:hAnsi="Sarabun" w:eastAsia="Sarabun" w:cs="Sarabun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:rFonts w:ascii="Sarabun" w:hAnsi="Sarabun" w:eastAsia="Sarabun" w:cs="Sarabun"/>
      </w:rPr>
    </w:tblStylePr>
    <w:tblStylePr w:type="nwCell">
      <w:rPr>
        <w:color w:val="000000" w:themeColor="text1"/>
        <w:rFonts w:ascii="Sarabun" w:hAnsi="Sarabun" w:eastAsia="Sarabun" w:cs="Sarabun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:rFonts w:ascii="Sarabun" w:hAnsi="Sarabun" w:eastAsia="Sarabun" w:cs="Sarabun"/>
      </w:rPr>
    </w:tblStylePr>
    <w:tblStylePr w:type="nwCell">
      <w:rPr>
        <w:color w:val="000000" w:themeColor="text1"/>
        <w:rFonts w:ascii="Sarabun" w:hAnsi="Sarabun" w:eastAsia="Sarabun" w:cs="Sarabun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  <w:rFonts w:ascii="Sarabun" w:hAnsi="Sarabun" w:eastAsia="Sarabun" w:cs="Sarabu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rFonts w:ascii="Sarabun" w:hAnsi="Sarabun" w:eastAsia="Sarabun" w:cs="Sarabun"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:rFonts w:ascii="Sarabun" w:hAnsi="Sarabun" w:eastAsia="Sarabun" w:cs="Sarabun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:rFonts w:ascii="Sarabun" w:hAnsi="Sarabun" w:eastAsia="Sarabun" w:cs="Sarabun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  <w:rFonts w:ascii="Sarabun" w:hAnsi="Sarabun" w:eastAsia="Sarabun" w:cs="Sarabun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numbering" w:styleId="111111">
    <w:name w:val="Outline List 2"/>
    <w:basedOn w:val="NoList"/>
    <w:uiPriority w:val="99"/>
    <w:semiHidden/>
    <w:unhideWhenUsed/>
    <w:rsid w:val="0014596C"/>
    <w:pPr>
      <w:numPr>
        <w:numId w:val="10"/>
      </w:numPr>
    </w:pPr>
  </w:style>
  <w:style w:type="numbering" w:styleId="1ai">
    <w:name w:val="Outline List 1"/>
    <w:basedOn w:val="NoList"/>
    <w:uiPriority w:val="99"/>
    <w:semiHidden/>
    <w:unhideWhenUsed/>
    <w:rsid w:val="0014596C"/>
    <w:pPr>
      <w:numPr>
        <w:numId w:val="11"/>
      </w:numPr>
    </w:pPr>
  </w:style>
  <w:style w:type="numbering" w:styleId="ArticleSection">
    <w:name w:val="Outline List 3"/>
    <w:basedOn w:val="NoList"/>
    <w:uiPriority w:val="99"/>
    <w:semiHidden/>
    <w:unhideWhenUsed/>
    <w:rsid w:val="0014596C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596C"/>
    <w:pPr>
      <w:spacing w:after="0" w:line="240" w:lineRule="auto"/>
    </w:pPr>
    <w:rPr>
      <w:rFonts w:ascii="Sarabun" w:hAnsi="Sarabun" w:eastAsia="Sarabun" w:cs="Sarabu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96C"/>
    <w:rPr>
      <w:rFonts w:ascii="Sarabun" w:hAnsi="Sarabun" w:eastAsia="Sarabun" w:cs="Sarabun"/>
      <w:color w:val="000000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14596C"/>
  </w:style>
  <w:style w:type="paragraph" w:styleId="BlockText">
    <w:name w:val="Block Text"/>
    <w:basedOn w:val="Normal"/>
    <w:uiPriority w:val="99"/>
    <w:semiHidden/>
    <w:unhideWhenUsed/>
    <w:rsid w:val="0014596C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="Sarabun" w:hAnsi="Sarabun" w:eastAsia="Sarabun" w:cs="Sarabun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4596C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4596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4596C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4596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4596C"/>
    <w:pPr>
      <w:spacing w:after="120"/>
      <w:ind w:left="283"/>
    </w:pPr>
    <w:rPr>
      <w:sz w:val="16"/>
      <w:szCs w:val="16"/>
      <w:rFonts w:ascii="Sarabun" w:hAnsi="Sarabun" w:eastAsia="Sarabun" w:cs="Sarabun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4596C"/>
    <w:rPr>
      <w:rFonts w:ascii="Sarabun" w:hAnsi="Sarabun" w:eastAsia="Sarabun" w:cs="Sarabun"/>
      <w:color w:val="000000"/>
      <w:sz w:val="16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14596C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character" w:styleId="CommentReference">
    <w:name w:val="annotation reference"/>
    <w:basedOn w:val="DefaultParagraphFont"/>
    <w:uiPriority w:val="99"/>
    <w:semiHidden/>
    <w:unhideWhenUsed/>
    <w:rsid w:val="0014596C"/>
    <w:rPr>
      <w:sz w:val="16"/>
      <w:szCs w:val="16"/>
      <w:rFonts w:ascii="Sarabun" w:hAnsi="Sarabun" w:eastAsia="Sarabun" w:cs="Sarabu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596C"/>
    <w:pPr>
      <w:spacing w:line="240" w:lineRule="auto"/>
    </w:pPr>
    <w:rPr>
      <w:sz w:val="20"/>
      <w:szCs w:val="20"/>
      <w:rFonts w:ascii="Sarabun" w:hAnsi="Sarabun" w:eastAsia="Sarabun" w:cs="Sarabu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596C"/>
    <w:rPr>
      <w:rFonts w:ascii="Sarabun" w:hAnsi="Sarabun" w:eastAsia="Sarabun" w:cs="Sarabu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596C"/>
    <w:rPr>
      <w:b/>
      <w:bCs/>
      <w:rFonts w:ascii="Sarabun" w:hAnsi="Sarabun" w:eastAsia="Sarabun" w:cs="Sarabun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596C"/>
    <w:rPr>
      <w:rFonts w:ascii="Sarabun" w:hAnsi="Sarabun" w:eastAsia="Sarabun" w:cs="Sarabun"/>
      <w:b/>
      <w:bCs/>
      <w:color w:val="000000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4596C"/>
  </w:style>
  <w:style w:type="character" w:customStyle="1" w:styleId="DateChar">
    <w:name w:val="Date Char"/>
    <w:basedOn w:val="DefaultParagraphFont"/>
    <w:link w:val="Date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4596C"/>
    <w:pPr>
      <w:spacing w:after="0" w:line="240" w:lineRule="auto"/>
    </w:pPr>
    <w:rPr>
      <w:rFonts w:ascii="Sarabun" w:hAnsi="Sarabun" w:eastAsia="Sarabun" w:cs="Sarabun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4596C"/>
    <w:rPr>
      <w:rFonts w:ascii="Sarabun" w:hAnsi="Sarabun" w:eastAsia="Sarabun" w:cs="Sarabun"/>
      <w:color w:val="000000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4596C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character" w:styleId="EndnoteReference">
    <w:name w:val="endnote reference"/>
    <w:basedOn w:val="DefaultParagraphFont"/>
    <w:uiPriority w:val="99"/>
    <w:semiHidden/>
    <w:unhideWhenUsed/>
    <w:rsid w:val="0014596C"/>
    <w:rPr>
      <w:vertAlign w:val="superscript"/>
      <w:rFonts w:ascii="Sarabun" w:hAnsi="Sarabun" w:eastAsia="Sarabun" w:cs="Sarabu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4596C"/>
    <w:pPr>
      <w:spacing w:after="0" w:line="240" w:lineRule="auto"/>
    </w:pPr>
    <w:rPr>
      <w:sz w:val="20"/>
      <w:szCs w:val="20"/>
      <w:rFonts w:ascii="Sarabun" w:hAnsi="Sarabun" w:eastAsia="Sarabun" w:cs="Sarabun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4596C"/>
    <w:rPr>
      <w:rFonts w:ascii="Sarabun" w:hAnsi="Sarabun" w:eastAsia="Sarabun" w:cs="Sarabun"/>
      <w:color w:val="000000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4596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Sarabun" w:hAnsi="Sarabun" w:eastAsia="Sarabun" w:cs="Sarabun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4596C"/>
    <w:pPr>
      <w:spacing w:after="0" w:line="240" w:lineRule="auto"/>
    </w:pPr>
    <w:rPr>
      <w:rFonts w:ascii="Sarabun" w:hAnsi="Sarabun" w:eastAsia="Sarabun" w:cs="Sarabu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4596C"/>
    <w:rPr>
      <w:color w:val="800080" w:themeColor="followedHyperlink"/>
      <w:u w:val="single"/>
      <w:rFonts w:ascii="Sarabun" w:hAnsi="Sarabun" w:eastAsia="Sarabun" w:cs="Sarabun"/>
    </w:rPr>
  </w:style>
  <w:style w:type="character" w:styleId="FootnoteReference">
    <w:name w:val="footnote reference"/>
    <w:basedOn w:val="DefaultParagraphFont"/>
    <w:uiPriority w:val="99"/>
    <w:semiHidden/>
    <w:unhideWhenUsed/>
    <w:rsid w:val="0014596C"/>
    <w:rPr>
      <w:vertAlign w:val="superscript"/>
      <w:rFonts w:ascii="Sarabun" w:hAnsi="Sarabun" w:eastAsia="Sarabun" w:cs="Sarabu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596C"/>
    <w:pPr>
      <w:spacing w:after="0" w:line="240" w:lineRule="auto"/>
    </w:pPr>
    <w:rPr>
      <w:sz w:val="20"/>
      <w:szCs w:val="20"/>
      <w:rFonts w:ascii="Sarabun" w:hAnsi="Sarabun" w:eastAsia="Sarabun" w:cs="Sarabu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596C"/>
    <w:rPr>
      <w:rFonts w:ascii="Sarabun" w:hAnsi="Sarabun" w:eastAsia="Sarabun" w:cs="Sarabun"/>
      <w:color w:val="000000"/>
      <w:sz w:val="20"/>
      <w:szCs w:val="20"/>
    </w:rPr>
  </w:style>
  <w:style w:type="table" w:styleId="GridTable1Light">
    <w:name w:val="Grid Table 1 Light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1Light-Accent1">
    <w:name w:val="Grid Table 1 Light Accent 1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1Light-Accent2">
    <w:name w:val="Grid Table 1 Light Accent 2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1Light-Accent3">
    <w:name w:val="Grid Table 1 Light Accent 3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1Light-Accent4">
    <w:name w:val="Grid Table 1 Light Accent 4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1Light-Accent5">
    <w:name w:val="Grid Table 1 Light Accent 5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1Light-Accent6">
    <w:name w:val="Grid Table 1 Light Accent 6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</w:style>
  <w:style w:type="table" w:styleId="GridTable2">
    <w:name w:val="Grid Table 2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14596C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596C"/>
    <w:pPr>
      <w:spacing w:after="0" w:line="240" w:lineRule="auto"/>
    </w:pPr>
    <w:rPr>
      <w:color w:val="365F91" w:themeColor="accent1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4596C"/>
    <w:pPr>
      <w:spacing w:after="0" w:line="240" w:lineRule="auto"/>
    </w:pPr>
    <w:rPr>
      <w:color w:val="943634" w:themeColor="accent2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14596C"/>
    <w:pPr>
      <w:spacing w:after="0" w:line="240" w:lineRule="auto"/>
    </w:pPr>
    <w:rPr>
      <w:color w:val="76923C" w:themeColor="accent3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4596C"/>
    <w:pPr>
      <w:spacing w:after="0" w:line="240" w:lineRule="auto"/>
    </w:pPr>
    <w:rPr>
      <w:color w:val="5F497A" w:themeColor="accent4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14596C"/>
    <w:pPr>
      <w:spacing w:after="0" w:line="240" w:lineRule="auto"/>
    </w:pPr>
    <w:rPr>
      <w:color w:val="31849B" w:themeColor="accent5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4596C"/>
    <w:pPr>
      <w:spacing w:after="0" w:line="240" w:lineRule="auto"/>
    </w:pPr>
    <w:rPr>
      <w:color w:val="E36C0A" w:themeColor="accent6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14596C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14596C"/>
    <w:pPr>
      <w:spacing w:after="0" w:line="240" w:lineRule="auto"/>
    </w:pPr>
    <w:rPr>
      <w:color w:val="365F91" w:themeColor="accent1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14596C"/>
    <w:pPr>
      <w:spacing w:after="0" w:line="240" w:lineRule="auto"/>
    </w:pPr>
    <w:rPr>
      <w:color w:val="943634" w:themeColor="accent2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14596C"/>
    <w:pPr>
      <w:spacing w:after="0" w:line="240" w:lineRule="auto"/>
    </w:pPr>
    <w:rPr>
      <w:color w:val="76923C" w:themeColor="accent3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14596C"/>
    <w:pPr>
      <w:spacing w:after="0" w:line="240" w:lineRule="auto"/>
    </w:pPr>
    <w:rPr>
      <w:color w:val="5F497A" w:themeColor="accent4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14596C"/>
    <w:pPr>
      <w:spacing w:after="0" w:line="240" w:lineRule="auto"/>
    </w:pPr>
    <w:rPr>
      <w:color w:val="31849B" w:themeColor="accent5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14596C"/>
    <w:pPr>
      <w:spacing w:after="0" w:line="240" w:lineRule="auto"/>
    </w:pPr>
    <w:rPr>
      <w:color w:val="E36C0A" w:themeColor="accent6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  <w:rFonts w:ascii="Sarabun" w:hAnsi="Sarabun" w:eastAsia="Sarabun" w:cs="Sarabun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14596C"/>
    <w:rPr>
      <w:color w:val="2B579A"/>
      <w:shd w:val="clear" w:color="auto" w:fill="E1DFDD"/>
      <w:rFonts w:ascii="Sarabun" w:hAnsi="Sarabun" w:eastAsia="Sarabun" w:cs="Sarabun"/>
    </w:rPr>
  </w:style>
  <w:style w:type="character" w:styleId="HTMLAcronym">
    <w:name w:val="HTML Acronym"/>
    <w:basedOn w:val="DefaultParagraphFont"/>
    <w:uiPriority w:val="99"/>
    <w:semiHidden/>
    <w:unhideWhenUsed/>
    <w:rsid w:val="0014596C"/>
  </w:style>
  <w:style w:type="paragraph" w:styleId="HTMLAddress">
    <w:name w:val="HTML Address"/>
    <w:basedOn w:val="Normal"/>
    <w:link w:val="HTMLAddressChar"/>
    <w:uiPriority w:val="99"/>
    <w:semiHidden/>
    <w:unhideWhenUsed/>
    <w:rsid w:val="0014596C"/>
    <w:pPr>
      <w:spacing w:after="0" w:line="240" w:lineRule="auto"/>
    </w:pPr>
    <w:rPr>
      <w:i/>
      <w:iCs/>
      <w:rFonts w:ascii="Sarabun" w:hAnsi="Sarabun" w:eastAsia="Sarabun" w:cs="Sarabun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4596C"/>
    <w:rPr>
      <w:rFonts w:ascii="Sarabun" w:hAnsi="Sarabun" w:eastAsia="Sarabun" w:cs="Sarabun"/>
      <w:i/>
      <w:iCs/>
      <w:color w:val="000000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14596C"/>
    <w:rPr>
      <w:i/>
      <w:iCs/>
      <w:rFonts w:ascii="Sarabun" w:hAnsi="Sarabun" w:eastAsia="Sarabun" w:cs="Sarabun"/>
    </w:rPr>
  </w:style>
  <w:style w:type="character" w:styleId="HTMLCode">
    <w:name w:val="HTML Code"/>
    <w:basedOn w:val="DefaultParagraphFont"/>
    <w:uiPriority w:val="99"/>
    <w:semiHidden/>
    <w:unhideWhenUsed/>
    <w:rsid w:val="0014596C"/>
    <w:rPr>
      <w:rFonts w:ascii="Sarabun" w:hAnsi="Sarabun" w:eastAsia="Sarabun" w:cs="Sarabun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14596C"/>
    <w:rPr>
      <w:i/>
      <w:iCs/>
      <w:rFonts w:ascii="Sarabun" w:hAnsi="Sarabun" w:eastAsia="Sarabun" w:cs="Sarabun"/>
    </w:rPr>
  </w:style>
  <w:style w:type="character" w:styleId="HTMLKeyboard">
    <w:name w:val="HTML Keyboard"/>
    <w:basedOn w:val="DefaultParagraphFont"/>
    <w:uiPriority w:val="99"/>
    <w:semiHidden/>
    <w:unhideWhenUsed/>
    <w:rsid w:val="0014596C"/>
    <w:rPr>
      <w:rFonts w:ascii="Sarabun" w:hAnsi="Sarabun" w:eastAsia="Sarabun" w:cs="Sarabu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4596C"/>
    <w:pPr>
      <w:spacing w:after="0" w:line="240" w:lineRule="auto"/>
    </w:pPr>
    <w:rPr>
      <w:rFonts w:ascii="Sarabun" w:hAnsi="Sarabun" w:eastAsia="Sarabun" w:cs="Sarabu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4596C"/>
    <w:rPr>
      <w:rFonts w:ascii="Sarabun" w:hAnsi="Sarabun" w:eastAsia="Sarabun" w:cs="Sarabun"/>
      <w:color w:val="000000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14596C"/>
    <w:rPr>
      <w:rFonts w:ascii="Sarabun" w:hAnsi="Sarabun" w:eastAsia="Sarabun" w:cs="Sarabun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14596C"/>
    <w:rPr>
      <w:rFonts w:ascii="Sarabun" w:hAnsi="Sarabun" w:eastAsia="Sarabun" w:cs="Sarabun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14596C"/>
    <w:rPr>
      <w:i/>
      <w:iCs/>
      <w:rFonts w:ascii="Sarabun" w:hAnsi="Sarabun" w:eastAsia="Sarabun" w:cs="Sarabun"/>
    </w:rPr>
  </w:style>
  <w:style w:type="character" w:styleId="Hyperlink">
    <w:name w:val="Hyperlink"/>
    <w:basedOn w:val="DefaultParagraphFont"/>
    <w:uiPriority w:val="99"/>
    <w:unhideWhenUsed/>
    <w:rsid w:val="0014596C"/>
    <w:rPr>
      <w:color w:val="0000FF" w:themeColor="hyperlink"/>
      <w:u w:val="single"/>
      <w:rFonts w:ascii="Sarabun" w:hAnsi="Sarabun" w:eastAsia="Sarabun" w:cs="Sarabun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230" w:hanging="23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460" w:hanging="23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690" w:hanging="23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920" w:hanging="23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1150" w:hanging="23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1380" w:hanging="23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1610" w:hanging="23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1840" w:hanging="23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4596C"/>
    <w:pPr>
      <w:spacing w:after="0" w:line="240" w:lineRule="auto"/>
      <w:ind w:left="2070" w:hanging="23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4596C"/>
    <w:rPr>
      <w:rFonts w:ascii="Sarabun" w:hAnsi="Sarabun" w:eastAsia="Sarabun" w:cs="Sarabun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14596C"/>
  </w:style>
  <w:style w:type="paragraph" w:styleId="List4">
    <w:name w:val="List 4"/>
    <w:basedOn w:val="Normal"/>
    <w:uiPriority w:val="99"/>
    <w:semiHidden/>
    <w:unhideWhenUsed/>
    <w:rsid w:val="0014596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4596C"/>
    <w:pPr>
      <w:ind w:left="1415" w:hanging="283"/>
      <w:contextualSpacing/>
    </w:pPr>
  </w:style>
  <w:style w:type="paragraph" w:styleId="ListBullet4">
    <w:name w:val="List Bullet 4"/>
    <w:basedOn w:val="Normal"/>
    <w:uiPriority w:val="99"/>
    <w:semiHidden/>
    <w:unhideWhenUsed/>
    <w:rsid w:val="0014596C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4596C"/>
    <w:pPr>
      <w:numPr>
        <w:numId w:val="13"/>
      </w:numPr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4596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4596C"/>
    <w:pPr>
      <w:spacing w:after="120"/>
      <w:ind w:left="1415"/>
      <w:contextualSpacing/>
    </w:pPr>
  </w:style>
  <w:style w:type="paragraph" w:styleId="ListNumber4">
    <w:name w:val="List Number 4"/>
    <w:basedOn w:val="Normal"/>
    <w:uiPriority w:val="99"/>
    <w:semiHidden/>
    <w:unhideWhenUsed/>
    <w:rsid w:val="0014596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4596C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000000" w:themeFill="text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4F81BD" w:themeFill="accent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C0504D" w:themeFill="accent2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9BBB59" w:themeFill="accent3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8064A2" w:themeFill="accent4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4BACC6" w:themeFill="accent5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shd w:val="clear" w:color="auto" w:fill="F79646" w:themeFill="accent6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  <w:rFonts w:ascii="Sarabun" w:hAnsi="Sarabun" w:eastAsia="Sarabun" w:cs="Sarabun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14596C"/>
    <w:pPr>
      <w:spacing w:after="0" w:line="240" w:lineRule="auto"/>
    </w:pPr>
    <w:rPr>
      <w:color w:val="FFFFFF" w:themeColor="background1"/>
      <w:rFonts w:ascii="Sarabun" w:hAnsi="Sarabun" w:eastAsia="Sarabun" w:cs="Sarabun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14596C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14596C"/>
    <w:pPr>
      <w:spacing w:after="0" w:line="240" w:lineRule="auto"/>
    </w:pPr>
    <w:rPr>
      <w:color w:val="365F91" w:themeColor="accent1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14596C"/>
    <w:pPr>
      <w:spacing w:after="0" w:line="240" w:lineRule="auto"/>
    </w:pPr>
    <w:rPr>
      <w:color w:val="943634" w:themeColor="accent2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14596C"/>
    <w:pPr>
      <w:spacing w:after="0" w:line="240" w:lineRule="auto"/>
    </w:pPr>
    <w:rPr>
      <w:color w:val="76923C" w:themeColor="accent3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14596C"/>
    <w:pPr>
      <w:spacing w:after="0" w:line="240" w:lineRule="auto"/>
    </w:pPr>
    <w:rPr>
      <w:color w:val="5F497A" w:themeColor="accent4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14596C"/>
    <w:pPr>
      <w:spacing w:after="0" w:line="240" w:lineRule="auto"/>
    </w:pPr>
    <w:rPr>
      <w:color w:val="31849B" w:themeColor="accent5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14596C"/>
    <w:pPr>
      <w:spacing w:after="0" w:line="240" w:lineRule="auto"/>
    </w:pPr>
    <w:rPr>
      <w:color w:val="E36C0A" w:themeColor="accent6" w:themeShade="BF"/>
      <w:rFonts w:ascii="Sarabun" w:hAnsi="Sarabun" w:eastAsia="Sarabun" w:cs="Sarabun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14596C"/>
    <w:pPr>
      <w:spacing w:after="0" w:line="240" w:lineRule="auto"/>
    </w:pPr>
    <w:rPr>
      <w:color w:val="000000" w:themeColor="text1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14596C"/>
    <w:pPr>
      <w:spacing w:after="0" w:line="240" w:lineRule="auto"/>
    </w:pPr>
    <w:rPr>
      <w:color w:val="365F91" w:themeColor="accent1" w:themeShade="BF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14596C"/>
    <w:pPr>
      <w:spacing w:after="0" w:line="240" w:lineRule="auto"/>
    </w:pPr>
    <w:rPr>
      <w:color w:val="943634" w:themeColor="accent2" w:themeShade="BF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14596C"/>
    <w:pPr>
      <w:spacing w:after="0" w:line="240" w:lineRule="auto"/>
    </w:pPr>
    <w:rPr>
      <w:color w:val="76923C" w:themeColor="accent3" w:themeShade="BF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14596C"/>
    <w:pPr>
      <w:spacing w:after="0" w:line="240" w:lineRule="auto"/>
    </w:pPr>
    <w:rPr>
      <w:color w:val="5F497A" w:themeColor="accent4" w:themeShade="BF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14596C"/>
    <w:pPr>
      <w:spacing w:after="0" w:line="240" w:lineRule="auto"/>
    </w:pPr>
    <w:rPr>
      <w:color w:val="31849B" w:themeColor="accent5" w:themeShade="BF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14596C"/>
    <w:pPr>
      <w:spacing w:after="0" w:line="240" w:lineRule="auto"/>
    </w:pPr>
    <w:rPr>
      <w:color w:val="E36C0A" w:themeColor="accent6" w:themeShade="BF"/>
      <w:rFonts w:ascii="Sarabun" w:hAnsi="Sarabun" w:eastAsia="Sarabun" w:cs="Sarabun"/>
    </w:r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14596C"/>
    <w:rPr>
      <w:color w:val="2B579A"/>
      <w:shd w:val="clear" w:color="auto" w:fill="E1DFDD"/>
      <w:rFonts w:ascii="Sarabun" w:hAnsi="Sarabun" w:eastAsia="Sarabun" w:cs="Sarabu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4596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Sarabun" w:hAnsi="Sarabun" w:eastAsia="Sarabun" w:cs="Sarabun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4596C"/>
    <w:rPr>
      <w:rFonts w:ascii="Sarabun" w:hAnsi="Sarabun" w:eastAsia="Sarabun" w:cs="Sarabun"/>
      <w:color w:val="000000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14596C"/>
    <w:rPr>
      <w:rFonts w:ascii="Sarabun" w:hAnsi="Sarabun" w:eastAsia="Sarabun" w:cs="Sarabu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4596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4596C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character" w:styleId="PageNumber">
    <w:name w:val="page number"/>
    <w:basedOn w:val="DefaultParagraphFont"/>
    <w:uiPriority w:val="99"/>
    <w:semiHidden/>
    <w:unhideWhenUsed/>
    <w:rsid w:val="0014596C"/>
  </w:style>
  <w:style w:type="character" w:styleId="PlaceholderText">
    <w:name w:val="Placeholder Text"/>
    <w:basedOn w:val="DefaultParagraphFont"/>
    <w:uiPriority w:val="99"/>
    <w:semiHidden/>
    <w:rsid w:val="0014596C"/>
    <w:rPr>
      <w:color w:val="666666"/>
      <w:rFonts w:ascii="Sarabun" w:hAnsi="Sarabun" w:eastAsia="Sarabun" w:cs="Sarabun"/>
    </w:rPr>
  </w:style>
  <w:style w:type="table" w:styleId="PlainTable1">
    <w:name w:val="Plain Table 1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  <w:rFonts w:ascii="Sarabun" w:hAnsi="Sarabun" w:eastAsia="Sarabun" w:cs="Sarabun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  <w:rFonts w:ascii="Sarabun" w:hAnsi="Sarabun" w:eastAsia="Sarabun" w:cs="Sarabun"/>
      </w:rPr>
      <w:tblPr/>
      <w:tcPr>
        <w:tcBorders>
          <w:top w:val="nil"/>
        </w:tcBorders>
      </w:tcPr>
    </w:tblStylePr>
    <w:tblStylePr w:type="firstCol">
      <w:rPr>
        <w:b/>
        <w:bCs/>
        <w:caps/>
        <w:rFonts w:ascii="Sarabun" w:hAnsi="Sarabun" w:eastAsia="Sarabun" w:cs="Sarabun"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  <w:rFonts w:ascii="Sarabun" w:hAnsi="Sarabun" w:eastAsia="Sarabun" w:cs="Sarabun"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</w:tblStylePr>
    <w:tblStylePr w:type="lastRow">
      <w:rPr>
        <w:b/>
        <w:bCs/>
        <w:rFonts w:ascii="Sarabun" w:hAnsi="Sarabun" w:eastAsia="Sarabun" w:cs="Sarabun"/>
      </w:rPr>
    </w:tblStylePr>
    <w:tblStylePr w:type="firstCol">
      <w:rPr>
        <w:b/>
        <w:bCs/>
        <w:rFonts w:ascii="Sarabun" w:hAnsi="Sarabun" w:eastAsia="Sarabun" w:cs="Sarabun"/>
      </w:rPr>
    </w:tblStylePr>
    <w:tblStylePr w:type="lastCol">
      <w:rPr>
        <w:b/>
        <w:bCs/>
        <w:rFonts w:ascii="Sarabun" w:hAnsi="Sarabun" w:eastAsia="Sarabun" w:cs="Sarabun"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99"/>
    <w:rsid w:val="0014596C"/>
    <w:pPr>
      <w:spacing w:after="0" w:line="240" w:lineRule="auto"/>
    </w:pPr>
    <w:tblPr>
      <w:tblStyleRowBandSize w:val="1"/>
      <w:tblStyleColBandSize w:val="1"/>
    </w:tblPr>
    <w:tblStylePr w:type="firstRow">
      <w:rPr>
        <w:rFonts w:ascii="Sarabun" w:hAnsi="Sarabun" w:eastAsia="Sarabun" w:cs="Sarabun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="Sarabun" w:hAnsi="Sarabun" w:eastAsia="Sarabun" w:cs="Sarabun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="Sarabun" w:hAnsi="Sarabun" w:eastAsia="Sarabun" w:cs="Sarabun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="Sarabun" w:hAnsi="Sarabun" w:eastAsia="Sarabun" w:cs="Sarabun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14596C"/>
    <w:pPr>
      <w:spacing w:after="0" w:line="240" w:lineRule="auto"/>
    </w:pPr>
    <w:rPr>
      <w:rFonts w:ascii="Sarabun" w:hAnsi="Sarabun" w:eastAsia="Sarabun" w:cs="Sarabu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4596C"/>
    <w:rPr>
      <w:rFonts w:ascii="Sarabun" w:hAnsi="Sarabun" w:eastAsia="Sarabun" w:cs="Sarabun"/>
      <w:color w:val="000000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4596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4596C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4596C"/>
    <w:rPr>
      <w:rFonts w:ascii="Sarabun" w:hAnsi="Sarabun" w:eastAsia="Sarabun" w:cs="Sarabun"/>
      <w:color w:val="000000"/>
      <w:sz w:val="23"/>
      <w:szCs w:val="23"/>
    </w:rPr>
  </w:style>
  <w:style w:type="character" w:styleId="SmartHyperlink">
    <w:name w:val="Smart Hyperlink"/>
    <w:basedOn w:val="DefaultParagraphFont"/>
    <w:uiPriority w:val="99"/>
    <w:semiHidden/>
    <w:unhideWhenUsed/>
    <w:rsid w:val="0014596C"/>
    <w:rPr>
      <w:u w:val="dotted"/>
      <w:rFonts w:ascii="Sarabun" w:hAnsi="Sarabun" w:eastAsia="Sarabun" w:cs="Sarabun"/>
    </w:rPr>
  </w:style>
  <w:style w:type="character" w:styleId="SmartLink">
    <w:name w:val="Smart Link"/>
    <w:basedOn w:val="DefaultParagraphFont"/>
    <w:uiPriority w:val="99"/>
    <w:semiHidden/>
    <w:unhideWhenUsed/>
    <w:rsid w:val="0014596C"/>
    <w:rPr>
      <w:color w:val="0000FF"/>
      <w:u w:val="single"/>
      <w:shd w:val="clear" w:color="auto" w:fill="F3F2F1"/>
      <w:rFonts w:ascii="Sarabun" w:hAnsi="Sarabun" w:eastAsia="Sarabun" w:cs="Sarabun"/>
    </w:rPr>
  </w:style>
  <w:style w:type="table" w:styleId="Table3Deffects1">
    <w:name w:val="Table 3D effects 1"/>
    <w:basedOn w:val="TableNormal"/>
    <w:uiPriority w:val="99"/>
    <w:semiHidden/>
    <w:unhideWhenUsed/>
    <w:rsid w:val="0014596C"/>
    <w:pPr>
      <w:spacing w:line="264" w:lineRule="auto"/>
    </w:pPr>
    <w:tblPr/>
    <w:tcPr>
      <w:shd w:val="solid" w:color="C0C0C0" w:fill="FFFFFF"/>
    </w:tcPr>
    <w:tblStylePr w:type="firstRow">
      <w:rPr>
        <w:b/>
        <w:bCs/>
        <w:color w:val="800080"/>
        <w:rFonts w:ascii="Sarabun" w:hAnsi="Sarabun" w:eastAsia="Sarabun" w:cs="Sarabun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  <w:rFonts w:ascii="Sarabun" w:hAnsi="Sarabun" w:eastAsia="Sarabun" w:cs="Sarabun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  <w:tblStyleColBandSize w:val="1"/>
    </w:tblPr>
    <w:tblStylePr w:type="firstRow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  <w:rFonts w:ascii="Sarabun" w:hAnsi="Sarabun" w:eastAsia="Sarabun" w:cs="Sarabun"/>
      </w:rPr>
      <w:tblPr/>
      <w:tcPr>
        <w:shd w:val="solid" w:color="C0C0C0" w:fill="FFFFFF"/>
      </w:tcPr>
    </w:tblStylePr>
    <w:tblStylePr w:type="band2Vert">
      <w:rPr>
        <w:color w:val="auto"/>
        <w:rFonts w:ascii="Sarabun" w:hAnsi="Sarabun" w:eastAsia="Sarabun" w:cs="Sarabun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4596C"/>
    <w:pPr>
      <w:spacing w:line="264" w:lineRule="auto"/>
    </w:pPr>
    <w:rPr>
      <w:color w:val="000080"/>
      <w:rFonts w:ascii="Sarabun" w:hAnsi="Sarabun" w:eastAsia="Sarabun" w:cs="Sarab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  <w:rFonts w:ascii="Sarabun" w:hAnsi="Sarabun" w:eastAsia="Sarabun" w:cs="Sarabu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4596C"/>
    <w:pPr>
      <w:spacing w:line="264" w:lineRule="auto"/>
    </w:pPr>
    <w:rPr>
      <w:color w:val="FFFFFF"/>
      <w:rFonts w:ascii="Sarabun" w:hAnsi="Sarabun" w:eastAsia="Sarabun" w:cs="Sarabu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4596C"/>
    <w:pPr>
      <w:spacing w:line="264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4596C"/>
    <w:pPr>
      <w:spacing w:line="264" w:lineRule="auto"/>
    </w:pPr>
    <w:rPr>
      <w:b/>
      <w:bCs/>
      <w:rFonts w:ascii="Sarabun" w:hAnsi="Sarabun" w:eastAsia="Sarabun" w:cs="Sarabu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  <w:rFonts w:ascii="Sarabun" w:hAnsi="Sarabun" w:eastAsia="Sarabun" w:cs="Sarabun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  <w:rFonts w:ascii="Sarabun" w:hAnsi="Sarabun" w:eastAsia="Sarabun" w:cs="Sarabun"/>
      </w:rPr>
      <w:tblPr/>
      <w:tcPr>
        <w:shd w:val="pct25" w:color="000000" w:fill="FFFFFF"/>
      </w:tcPr>
    </w:tblStylePr>
    <w:tblStylePr w:type="band2Vert">
      <w:rPr>
        <w:color w:val="auto"/>
        <w:rFonts w:ascii="Sarabun" w:hAnsi="Sarabun" w:eastAsia="Sarabun" w:cs="Sarabun"/>
      </w:rPr>
      <w:tblPr/>
      <w:tcPr>
        <w:shd w:val="pct25" w:color="FFFF00" w:fill="FFFFFF"/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4596C"/>
    <w:pPr>
      <w:spacing w:line="264" w:lineRule="auto"/>
    </w:pPr>
    <w:rPr>
      <w:b/>
      <w:bCs/>
      <w:rFonts w:ascii="Sarabun" w:hAnsi="Sarabun" w:eastAsia="Sarabun" w:cs="Sarabun"/>
    </w:rPr>
    <w:tblPr>
      <w:tblStyleColBandSize w:val="1"/>
    </w:tblPr>
    <w:tblStylePr w:type="firstRow">
      <w:rPr>
        <w:color w:val="FFFFFF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  <w:rFonts w:ascii="Sarabun" w:hAnsi="Sarabun" w:eastAsia="Sarabun" w:cs="Sarabun"/>
      </w:rPr>
      <w:tblPr/>
      <w:tcPr>
        <w:shd w:val="pct30" w:color="000000" w:fill="FFFFFF"/>
      </w:tcPr>
    </w:tblStylePr>
    <w:tblStylePr w:type="band2Vert">
      <w:rPr>
        <w:color w:val="auto"/>
        <w:rFonts w:ascii="Sarabun" w:hAnsi="Sarabun" w:eastAsia="Sarabun" w:cs="Sarabun"/>
      </w:rPr>
      <w:tblPr/>
      <w:tcPr>
        <w:shd w:val="pct25" w:color="00FF00" w:fill="FFFFFF"/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4596C"/>
    <w:pPr>
      <w:spacing w:line="264" w:lineRule="auto"/>
    </w:pPr>
    <w:rPr>
      <w:b/>
      <w:bCs/>
      <w:rFonts w:ascii="Sarabun" w:hAnsi="Sarabun" w:eastAsia="Sarabun" w:cs="Sarabu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  <w:rFonts w:ascii="Sarabun" w:hAnsi="Sarabun" w:eastAsia="Sarabun" w:cs="Sarabun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  <w:rFonts w:ascii="Sarabun" w:hAnsi="Sarabun" w:eastAsia="Sarabun" w:cs="Sarabun"/>
      </w:rPr>
      <w:tblPr/>
      <w:tcPr>
        <w:shd w:val="solid" w:color="C0C0C0" w:fill="FFFFFF"/>
      </w:tcPr>
    </w:tblStylePr>
    <w:tblStylePr w:type="band2Vert">
      <w:rPr>
        <w:color w:val="auto"/>
        <w:rFonts w:ascii="Sarabun" w:hAnsi="Sarabun" w:eastAsia="Sarabun" w:cs="Sarabun"/>
      </w:rPr>
      <w:tblPr/>
      <w:tcPr>
        <w:shd w:val="pct10" w:color="000000" w:fill="FFFFFF"/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4596C"/>
    <w:pPr>
      <w:spacing w:line="264" w:lineRule="auto"/>
    </w:pPr>
    <w:tblPr>
      <w:tblStyleColBandSize w:val="1"/>
    </w:tblPr>
    <w:tblStylePr w:type="firstRow">
      <w:rPr>
        <w:color w:val="FFFFFF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  <w:rFonts w:ascii="Sarabun" w:hAnsi="Sarabun" w:eastAsia="Sarabun" w:cs="Sarabun"/>
      </w:rPr>
      <w:tblPr/>
      <w:tcPr>
        <w:shd w:val="pct50" w:color="008080" w:fill="FFFFFF"/>
      </w:tcPr>
    </w:tblStylePr>
    <w:tblStylePr w:type="band2Vert">
      <w:rPr>
        <w:color w:val="auto"/>
        <w:rFonts w:ascii="Sarabun" w:hAnsi="Sarabun" w:eastAsia="Sarabun" w:cs="Sarabun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4596C"/>
    <w:pPr>
      <w:spacing w:line="264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  <w:rFonts w:ascii="Sarabun" w:hAnsi="Sarabun" w:eastAsia="Sarabun" w:cs="Sarabun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  <w:rFonts w:ascii="Sarabun" w:hAnsi="Sarabun" w:eastAsia="Sarabun" w:cs="Sarabun"/>
      </w:rPr>
      <w:tblPr/>
      <w:tcPr>
        <w:shd w:val="solid" w:color="C0C0C0" w:fill="FFFFFF"/>
      </w:tcPr>
    </w:tblStylePr>
    <w:tblStylePr w:type="band2Vert">
      <w:rPr>
        <w:color w:val="auto"/>
        <w:rFonts w:ascii="Sarabun" w:hAnsi="Sarabun" w:eastAsia="Sarabun" w:cs="Sarabun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4596C"/>
    <w:pPr>
      <w:spacing w:line="264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4596C"/>
    <w:pPr>
      <w:spacing w:line="264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4596C"/>
    <w:pPr>
      <w:spacing w:line="264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4596C"/>
    <w:pPr>
      <w:spacing w:line="264" w:lineRule="auto"/>
    </w:pPr>
    <w:rPr>
      <w:b/>
      <w:bCs/>
      <w:rFonts w:ascii="Sarabun" w:hAnsi="Sarabun" w:eastAsia="Sarabun" w:cs="Sarab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99"/>
    <w:rsid w:val="0014596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4596C"/>
    <w:pPr>
      <w:spacing w:line="264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  <w:rFonts w:ascii="Sarabun" w:hAnsi="Sarabun" w:eastAsia="Sarabun" w:cs="Sarabu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4596C"/>
    <w:pPr>
      <w:spacing w:after="0"/>
      <w:ind w:left="230" w:hanging="23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4596C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4596C"/>
    <w:pPr>
      <w:spacing w:line="264" w:lineRule="auto"/>
    </w:pPr>
    <w:tblPr/>
    <w:tblStylePr w:type="firstRow">
      <w:rPr>
        <w:b/>
        <w:bCs/>
        <w:rFonts w:ascii="Sarabun" w:hAnsi="Sarabun" w:eastAsia="Sarabun" w:cs="Sarabu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  <w:rFonts w:ascii="Sarabun" w:hAnsi="Sarabun" w:eastAsia="Sarabun" w:cs="Sarabu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  <w:rFonts w:ascii="Sarabun" w:hAnsi="Sarabun" w:eastAsia="Sarabun" w:cs="Sarabu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rFonts w:ascii="Sarabun" w:hAnsi="Sarabun" w:eastAsia="Sarabun" w:cs="Sarabun"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4596C"/>
    <w:pPr>
      <w:spacing w:line="264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14596C"/>
    <w:pPr>
      <w:spacing w:line="264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4596C"/>
    <w:pPr>
      <w:spacing w:line="264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14596C"/>
    <w:pPr>
      <w:spacing w:line="264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4596C"/>
    <w:pPr>
      <w:spacing w:line="264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14596C"/>
    <w:pPr>
      <w:spacing w:line="264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  <w:rFonts w:ascii="Sarabun" w:hAnsi="Sarabun" w:eastAsia="Sarabun" w:cs="Sarabu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14596C"/>
    <w:pPr>
      <w:spacing w:before="120"/>
    </w:pPr>
    <w:rPr>
      <w:rFonts w:ascii="Sarabun" w:hAnsi="Sarabun" w:eastAsia="Sarabun" w:cs="Sarabun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14596C"/>
    <w:pPr>
      <w:spacing w:after="0"/>
    </w:pPr>
    <w:rPr>
      <w:b/>
      <w:color w:val="0B2545"/>
      <w:sz w:val="28"/>
      <w:rFonts w:ascii="Sarabun" w:hAnsi="Sarabun" w:eastAsia="Sarabun" w:cs="Sarabun"/>
    </w:rPr>
  </w:style>
  <w:style w:type="paragraph" w:styleId="TOC2">
    <w:name w:val="toc 2"/>
    <w:basedOn w:val="Normal"/>
    <w:next w:val="Normal"/>
    <w:autoRedefine/>
    <w:uiPriority w:val="39"/>
    <w:unhideWhenUsed/>
    <w:rsid w:val="0014596C"/>
    <w:pPr>
      <w:spacing w:after="0"/>
      <w:ind w:left="230"/>
    </w:pPr>
    <w:rPr>
      <w:color w:val="404040"/>
      <w:sz w:val="28"/>
      <w:rFonts w:ascii="Sarabun" w:hAnsi="Sarabun" w:eastAsia="Sarabun" w:cs="Sarabun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4596C"/>
    <w:pPr>
      <w:spacing w:after="100"/>
      <w:ind w:left="46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4596C"/>
    <w:pPr>
      <w:spacing w:after="100"/>
      <w:ind w:left="69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4596C"/>
    <w:pPr>
      <w:spacing w:after="100"/>
      <w:ind w:left="92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4596C"/>
    <w:pPr>
      <w:spacing w:after="100"/>
      <w:ind w:left="115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4596C"/>
    <w:pPr>
      <w:spacing w:after="100"/>
      <w:ind w:left="138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4596C"/>
    <w:pPr>
      <w:spacing w:after="100"/>
      <w:ind w:left="161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4596C"/>
    <w:pPr>
      <w:spacing w:after="100"/>
      <w:ind w:left="1840"/>
    </w:pPr>
  </w:style>
  <w:style w:type="character" w:styleId="UnresolvedMention">
    <w:name w:val="Unresolved Mention"/>
    <w:basedOn w:val="DefaultParagraphFont"/>
    <w:uiPriority w:val="99"/>
    <w:semiHidden/>
    <w:unhideWhenUsed/>
    <w:rsid w:val="0014596C"/>
    <w:rPr>
      <w:color w:val="605E5C"/>
      <w:shd w:val="clear" w:color="auto" w:fill="E1DFDD"/>
      <w:rFonts w:ascii="Sarabun" w:hAnsi="Sarabun" w:eastAsia="Sarabun" w:cs="Sarabun"/>
    </w:rPr>
  </w:style>
  <w:style w:type="paragraph" w:customStyle="1" w:styleId="TableCaptionTH">
    <w:name w:val="Table Caption TH"/>
    <w:basedOn w:val="Normal"/>
    <w:rsid w:val="0014596C"/>
    <w:pPr>
      <w:keepNext/>
      <w:spacing w:before="200" w:after="80"/>
    </w:pPr>
    <w:rPr>
      <w:b/>
      <w:color w:val="0B2545"/>
      <w:sz w:val="30"/>
      <w:rFonts w:ascii="Sarabun" w:hAnsi="Sarabun" w:eastAsia="Sarabun" w:cs="Sarab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hisoraadvisory.com/th/insights/judgment-human-oversight-finance-playbook/" TargetMode="External"/><Relationship Id="rId13" Type="http://schemas.openxmlformats.org/officeDocument/2006/relationships/hyperlink" Target="https://www.bot.or.th/content/dam/bot/fipcs/documents/FOG/2568/ThaiPDF/25680178.pdf" TargetMode="External"/><Relationship Id="rId18" Type="http://schemas.openxmlformats.org/officeDocument/2006/relationships/hyperlink" Target="https://www.digital.gov.au/policy/ai/ai-agentic-addendum-key-terms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digital-strategy.ec.europa.eu/en/policies/regulatory-framework-ai" TargetMode="External"/><Relationship Id="rId17" Type="http://schemas.openxmlformats.org/officeDocument/2006/relationships/hyperlink" Target="https://digital-strategy.ec.europa.eu/en/library/ethics-guidelines-trustworthy-ai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acpro-std.tfac.or.th/standard/119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so.org/standard/42001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acpro-std.tfac.or.th/standard/118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nist.gov/itl/ai-risk-management-framework" TargetMode="External"/><Relationship Id="rId19" Type="http://schemas.openxmlformats.org/officeDocument/2006/relationships/hyperlink" Target="https://www.federalreserve.gov/supervisionreg/srletters/SR2602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so.org/_files/ugd/719ba0_08f358f2c8f946fa9d26bd51d37b7117.pdf" TargetMode="External"/><Relationship Id="rId14" Type="http://schemas.openxmlformats.org/officeDocument/2006/relationships/hyperlink" Target="https://www.theiia.org/en/resources/statements-of-position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116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6CB6AE-0277-4A12-ACE7-8EEDBB0A9485}">
  <we:reference id="WA200010453" version="1.0.0.1" store="Omex" storeType="OMEX"/>
  <we:alternateReferences>
    <we:reference id="WA200010453" version="1.0.0.1" store="WA200010453" storeType="OMEX"/>
  </we:alternateReferences>
  <we:properties>
    <we:property name="claude.fileId" value="&quot;7ff9e890-f72d-4093-bcd4-84f2836fe7d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29</Pages>
  <Words>7322</Words>
  <Characters>32731</Characters>
  <Application>Microsoft Office Word</Application>
  <DocSecurity>0</DocSecurity>
  <Lines>861</Lines>
  <Paragraphs>770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Playbook การใช้ AI ในงานการเงินด้วย Judgment และ Human Oversight</vt:lpstr>
    </vt:vector>
  </TitlesOfParts>
  <Manager/>
  <Company/>
  <LinksUpToDate>false</LinksUpToDate>
  <CharactersWithSpaces>39283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Playbook การใช้ AI ในงานการเงินด้วย Judgment และ Human Oversight</dc:title>
  <dc:subject>CFO AI governance internal control and practical operating templates</dc:subject>
  <dc:creator>DHISORA Advisory</dc:creator>
  <cp:keywords/>
  <dc:description>generated by python-docx</dc:description>
  <cp:lastModifiedBy>DHISORA Advisory</cp:lastModifiedBy>
  <cp:revision>6</cp:revision>
  <cp:lastPrinted>2026-10-10T08:56:00Z</cp:lastPrinted>
  <dcterms:created xsi:type="dcterms:W3CDTF">2013-12-23T23:15:00Z</dcterms:created>
  <dcterms:modified xsi:type="dcterms:W3CDTF">2026-10-10T08:59:00Z</dcterms:modified>
  <cp:category/>
</cp:coreProperties>
</file>